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1F682" w14:textId="1EFE461B" w:rsidR="00DD5AFB" w:rsidRPr="00331F3E" w:rsidRDefault="00135269" w:rsidP="00CC1955">
      <w:pPr>
        <w:pStyle w:val="StyleTitlePage18"/>
        <w:rPr>
          <w:sz w:val="44"/>
        </w:rPr>
      </w:pPr>
      <w:bookmarkStart w:id="0" w:name="_GoBack"/>
      <w:bookmarkEnd w:id="0"/>
      <w:r>
        <w:rPr>
          <w:sz w:val="44"/>
        </w:rPr>
        <w:t>FINAL</w:t>
      </w:r>
    </w:p>
    <w:p w14:paraId="1FCCC875" w14:textId="77777777" w:rsidR="00894084" w:rsidRDefault="00894084" w:rsidP="00A14529">
      <w:pPr>
        <w:pStyle w:val="StyleTitlePage18"/>
        <w:rPr>
          <w:rFonts w:ascii="Arial" w:hAnsi="Arial"/>
          <w:b w:val="0"/>
          <w:bCs w:val="0"/>
          <w:color w:val="auto"/>
          <w:sz w:val="28"/>
          <w:szCs w:val="24"/>
        </w:rPr>
      </w:pPr>
    </w:p>
    <w:sdt>
      <w:sdtPr>
        <w:rPr>
          <w:rFonts w:ascii="Arial" w:hAnsi="Arial"/>
          <w:b w:val="0"/>
          <w:bCs w:val="0"/>
          <w:color w:val="auto"/>
          <w:sz w:val="28"/>
          <w:szCs w:val="24"/>
        </w:rPr>
        <w:id w:val="114788127"/>
        <w:docPartObj>
          <w:docPartGallery w:val="Cover Pages"/>
          <w:docPartUnique/>
        </w:docPartObj>
      </w:sdtPr>
      <w:sdtEndPr/>
      <w:sdtContent>
        <w:p w14:paraId="72F6078D" w14:textId="7C6097F1" w:rsidR="0023580A" w:rsidRPr="00331F3E" w:rsidRDefault="00A14529" w:rsidP="00A14529">
          <w:pPr>
            <w:pStyle w:val="StyleTitlePage18"/>
            <w:rPr>
              <w:sz w:val="44"/>
            </w:rPr>
          </w:pPr>
          <w:r w:rsidRPr="00331F3E">
            <w:rPr>
              <w:sz w:val="44"/>
            </w:rPr>
            <w:t xml:space="preserve">State of </w:t>
          </w:r>
          <w:r w:rsidR="00831AB3" w:rsidRPr="00331F3E">
            <w:rPr>
              <w:sz w:val="44"/>
            </w:rPr>
            <w:t>Vermont</w:t>
          </w:r>
        </w:p>
        <w:p w14:paraId="72F6078E" w14:textId="77777777" w:rsidR="0023580A" w:rsidRPr="00331F3E" w:rsidRDefault="00831AB3" w:rsidP="0023580A">
          <w:pPr>
            <w:pStyle w:val="StyleTitlePage18"/>
            <w:rPr>
              <w:sz w:val="44"/>
            </w:rPr>
          </w:pPr>
          <w:r w:rsidRPr="00331F3E">
            <w:rPr>
              <w:sz w:val="44"/>
            </w:rPr>
            <w:t>Department of Information and Innovation</w:t>
          </w:r>
        </w:p>
        <w:p w14:paraId="72F6078F" w14:textId="77777777" w:rsidR="00831AB3" w:rsidRPr="00331F3E" w:rsidRDefault="00831AB3" w:rsidP="0023580A">
          <w:pPr>
            <w:pStyle w:val="StyleTitlePage18"/>
            <w:rPr>
              <w:sz w:val="44"/>
            </w:rPr>
          </w:pPr>
          <w:r w:rsidRPr="00331F3E">
            <w:rPr>
              <w:sz w:val="44"/>
            </w:rPr>
            <w:t>Department of Taxes</w:t>
          </w:r>
        </w:p>
        <w:p w14:paraId="72F60790" w14:textId="77777777" w:rsidR="0023580A" w:rsidRPr="00331F3E" w:rsidRDefault="0023580A" w:rsidP="0023580A">
          <w:pPr>
            <w:pStyle w:val="StyleTitlePage18"/>
            <w:rPr>
              <w:sz w:val="44"/>
            </w:rPr>
          </w:pPr>
        </w:p>
        <w:p w14:paraId="72F60791" w14:textId="77777777" w:rsidR="0023580A" w:rsidRPr="00331F3E" w:rsidRDefault="00831AB3" w:rsidP="0023580A">
          <w:pPr>
            <w:pStyle w:val="StyleTitlePage18"/>
            <w:rPr>
              <w:sz w:val="44"/>
            </w:rPr>
          </w:pPr>
          <w:r w:rsidRPr="00331F3E">
            <w:rPr>
              <w:sz w:val="44"/>
            </w:rPr>
            <w:t>Independent Review of an Integrated Tax System</w:t>
          </w:r>
        </w:p>
        <w:p w14:paraId="72F60792" w14:textId="77777777" w:rsidR="0023580A" w:rsidRPr="00135269" w:rsidRDefault="0023580A" w:rsidP="0023580A">
          <w:pPr>
            <w:pStyle w:val="StyleTitlePage18"/>
            <w:rPr>
              <w:b w:val="0"/>
              <w:bCs w:val="0"/>
              <w:sz w:val="32"/>
            </w:rPr>
          </w:pPr>
        </w:p>
        <w:p w14:paraId="7D08DAE2" w14:textId="4C635B01" w:rsidR="00135269" w:rsidRPr="00135269" w:rsidRDefault="00135269" w:rsidP="00135269">
          <w:pPr>
            <w:pStyle w:val="TitlePage12"/>
            <w:rPr>
              <w:sz w:val="32"/>
            </w:rPr>
          </w:pPr>
          <w:r w:rsidRPr="00135269">
            <w:rPr>
              <w:sz w:val="32"/>
            </w:rPr>
            <w:t>Review Conducted over the period September 30, 2013 through December 4, 2013</w:t>
          </w:r>
        </w:p>
        <w:p w14:paraId="0DB78884" w14:textId="77777777" w:rsidR="00135269" w:rsidRPr="00135269" w:rsidRDefault="00135269" w:rsidP="0023580A">
          <w:pPr>
            <w:pStyle w:val="StyleTitlePage18"/>
            <w:rPr>
              <w:b w:val="0"/>
              <w:bCs w:val="0"/>
              <w:sz w:val="32"/>
            </w:rPr>
          </w:pPr>
        </w:p>
        <w:p w14:paraId="72F60793" w14:textId="77777777" w:rsidR="0023580A" w:rsidRPr="00331F3E" w:rsidRDefault="00831AB3" w:rsidP="0023580A">
          <w:pPr>
            <w:pStyle w:val="TitlePage12"/>
            <w:rPr>
              <w:sz w:val="32"/>
            </w:rPr>
          </w:pPr>
          <w:r w:rsidRPr="00331F3E">
            <w:rPr>
              <w:sz w:val="32"/>
            </w:rPr>
            <w:t>Presented to the State of Vermont, Office of the Chief Information Officer</w:t>
          </w:r>
        </w:p>
        <w:p w14:paraId="72F60795" w14:textId="169768B6" w:rsidR="0023580A" w:rsidRPr="00331F3E" w:rsidRDefault="00A53989" w:rsidP="0023580A">
          <w:pPr>
            <w:pStyle w:val="TitlePage14"/>
            <w:rPr>
              <w:sz w:val="36"/>
            </w:rPr>
          </w:pPr>
          <w:r>
            <w:rPr>
              <w:sz w:val="36"/>
            </w:rPr>
            <w:t>January 1</w:t>
          </w:r>
          <w:r w:rsidR="00135269">
            <w:rPr>
              <w:sz w:val="36"/>
            </w:rPr>
            <w:t>6</w:t>
          </w:r>
          <w:r>
            <w:rPr>
              <w:sz w:val="36"/>
            </w:rPr>
            <w:t>, 2014</w:t>
          </w:r>
        </w:p>
        <w:p w14:paraId="72F60796" w14:textId="77777777" w:rsidR="0023580A" w:rsidRPr="00331F3E" w:rsidRDefault="0023580A" w:rsidP="0023580A">
          <w:pPr>
            <w:pStyle w:val="TitlePage14"/>
            <w:rPr>
              <w:sz w:val="36"/>
            </w:rPr>
          </w:pPr>
        </w:p>
        <w:p w14:paraId="72F60797" w14:textId="77777777" w:rsidR="0023580A" w:rsidRPr="00331F3E" w:rsidRDefault="0023580A" w:rsidP="0023580A">
          <w:pPr>
            <w:pStyle w:val="TitlePage12"/>
            <w:rPr>
              <w:b/>
              <w:sz w:val="32"/>
            </w:rPr>
          </w:pPr>
          <w:r w:rsidRPr="00331F3E">
            <w:rPr>
              <w:sz w:val="32"/>
            </w:rPr>
            <w:t>Mathtech, Inc.</w:t>
          </w:r>
        </w:p>
        <w:p w14:paraId="72F60798" w14:textId="77777777" w:rsidR="0023580A" w:rsidRPr="00331F3E" w:rsidRDefault="0023580A" w:rsidP="0023580A">
          <w:pPr>
            <w:pStyle w:val="TitlePage12"/>
            <w:rPr>
              <w:b/>
              <w:sz w:val="32"/>
            </w:rPr>
          </w:pPr>
          <w:r w:rsidRPr="00331F3E">
            <w:rPr>
              <w:sz w:val="32"/>
            </w:rPr>
            <w:t>2465 Kuser Road, Suite 200</w:t>
          </w:r>
        </w:p>
        <w:p w14:paraId="72F60799" w14:textId="77777777" w:rsidR="0023580A" w:rsidRPr="00331F3E" w:rsidRDefault="0023580A" w:rsidP="0023580A">
          <w:pPr>
            <w:pStyle w:val="TitlePage12"/>
            <w:rPr>
              <w:b/>
              <w:sz w:val="32"/>
            </w:rPr>
          </w:pPr>
          <w:r w:rsidRPr="00331F3E">
            <w:rPr>
              <w:sz w:val="32"/>
            </w:rPr>
            <w:t>Hamilton, New Jersey 08690</w:t>
          </w:r>
        </w:p>
        <w:p w14:paraId="72F6079A" w14:textId="77777777" w:rsidR="0023580A" w:rsidRPr="00331F3E" w:rsidRDefault="0023580A" w:rsidP="0023580A">
          <w:pPr>
            <w:pStyle w:val="TitlePage12"/>
            <w:rPr>
              <w:b/>
              <w:sz w:val="32"/>
            </w:rPr>
          </w:pPr>
          <w:r w:rsidRPr="00331F3E">
            <w:rPr>
              <w:sz w:val="32"/>
            </w:rPr>
            <w:t>www.mathtechinc.com</w:t>
          </w:r>
        </w:p>
        <w:p w14:paraId="72F6079B" w14:textId="77777777" w:rsidR="0023580A" w:rsidRDefault="00591809" w:rsidP="0023580A">
          <w:pPr>
            <w:rPr>
              <w:rFonts w:ascii="Trebuchet MS" w:hAnsi="Trebuchet MS" w:cs="Arial"/>
              <w:b/>
              <w:bCs/>
              <w:color w:val="000080"/>
              <w:kern w:val="32"/>
              <w:sz w:val="36"/>
              <w:szCs w:val="28"/>
            </w:rPr>
          </w:pPr>
        </w:p>
      </w:sdtContent>
    </w:sdt>
    <w:p w14:paraId="72F6079C" w14:textId="720DC07C" w:rsidR="0023580A" w:rsidRDefault="00CC1955" w:rsidP="0023580A">
      <w:pPr>
        <w:rPr>
          <w:rFonts w:ascii="Trebuchet MS" w:hAnsi="Trebuchet MS" w:cs="Arial"/>
          <w:b/>
          <w:bCs/>
          <w:color w:val="000080"/>
          <w:kern w:val="32"/>
          <w:sz w:val="36"/>
          <w:szCs w:val="28"/>
        </w:rPr>
      </w:pPr>
      <w:r>
        <w:rPr>
          <w:noProof/>
        </w:rPr>
        <w:drawing>
          <wp:anchor distT="0" distB="0" distL="114300" distR="114300" simplePos="0" relativeHeight="251659264" behindDoc="1" locked="0" layoutInCell="1" allowOverlap="1" wp14:anchorId="4E83F27C" wp14:editId="1F1E3C4D">
            <wp:simplePos x="0" y="0"/>
            <wp:positionH relativeFrom="page">
              <wp:posOffset>-1</wp:posOffset>
            </wp:positionH>
            <wp:positionV relativeFrom="page">
              <wp:posOffset>6591300</wp:posOffset>
            </wp:positionV>
            <wp:extent cx="7781925" cy="3618580"/>
            <wp:effectExtent l="0" t="0" r="0" b="1270"/>
            <wp:wrapNone/>
            <wp:docPr id="2" name="Picture 2" descr="Road and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oad and Sign"/>
                    <pic:cNvPicPr>
                      <a:picLocks noChangeArrowheads="1"/>
                    </pic:cNvPicPr>
                  </pic:nvPicPr>
                  <pic:blipFill>
                    <a:blip r:embed="rId12" cstate="print">
                      <a:lum bright="-20000"/>
                    </a:blip>
                    <a:srcRect/>
                    <a:stretch>
                      <a:fillRect/>
                    </a:stretch>
                  </pic:blipFill>
                  <pic:spPr bwMode="auto">
                    <a:xfrm>
                      <a:off x="0" y="0"/>
                      <a:ext cx="7781925" cy="3618580"/>
                    </a:xfrm>
                    <a:prstGeom prst="rect">
                      <a:avLst/>
                    </a:prstGeom>
                    <a:noFill/>
                  </pic:spPr>
                </pic:pic>
              </a:graphicData>
            </a:graphic>
            <wp14:sizeRelH relativeFrom="margin">
              <wp14:pctWidth>0</wp14:pctWidth>
            </wp14:sizeRelH>
            <wp14:sizeRelV relativeFrom="margin">
              <wp14:pctHeight>0</wp14:pctHeight>
            </wp14:sizeRelV>
          </wp:anchor>
        </w:drawing>
      </w:r>
      <w:r w:rsidR="0023580A">
        <w:br w:type="page"/>
      </w:r>
    </w:p>
    <w:p w14:paraId="4F549D59" w14:textId="77777777" w:rsidR="002C0E13" w:rsidRPr="002C0E13" w:rsidRDefault="00814CB7">
      <w:pPr>
        <w:pStyle w:val="TOC1"/>
        <w:rPr>
          <w:rFonts w:asciiTheme="minorHAnsi" w:eastAsiaTheme="minorEastAsia" w:hAnsiTheme="minorHAnsi" w:cstheme="minorBidi"/>
          <w:b w:val="0"/>
          <w:color w:val="auto"/>
          <w:sz w:val="20"/>
          <w:szCs w:val="22"/>
        </w:rPr>
      </w:pPr>
      <w:r w:rsidRPr="00263BF7">
        <w:rPr>
          <w:sz w:val="14"/>
        </w:rPr>
        <w:lastRenderedPageBreak/>
        <w:fldChar w:fldCharType="begin"/>
      </w:r>
      <w:r w:rsidR="00B439B8" w:rsidRPr="00263BF7">
        <w:rPr>
          <w:sz w:val="14"/>
        </w:rPr>
        <w:instrText xml:space="preserve"> TOC \o "1-2" \h \z \u </w:instrText>
      </w:r>
      <w:r w:rsidRPr="00263BF7">
        <w:rPr>
          <w:sz w:val="14"/>
        </w:rPr>
        <w:fldChar w:fldCharType="separate"/>
      </w:r>
      <w:hyperlink w:anchor="_Toc377313524" w:history="1">
        <w:r w:rsidR="002C0E13" w:rsidRPr="002C0E13">
          <w:rPr>
            <w:rStyle w:val="Hyperlink"/>
            <w:sz w:val="20"/>
          </w:rPr>
          <w:t>1.0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Executive Summary</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_Toc377313524 \h </w:instrText>
        </w:r>
        <w:r w:rsidR="002C0E13" w:rsidRPr="002C0E13">
          <w:rPr>
            <w:webHidden/>
            <w:sz w:val="20"/>
          </w:rPr>
        </w:r>
        <w:r w:rsidR="002C0E13" w:rsidRPr="002C0E13">
          <w:rPr>
            <w:webHidden/>
            <w:sz w:val="20"/>
          </w:rPr>
          <w:fldChar w:fldCharType="separate"/>
        </w:r>
        <w:r w:rsidR="002C0E13" w:rsidRPr="002C0E13">
          <w:rPr>
            <w:webHidden/>
            <w:sz w:val="20"/>
          </w:rPr>
          <w:t>4</w:t>
        </w:r>
        <w:r w:rsidR="002C0E13" w:rsidRPr="002C0E13">
          <w:rPr>
            <w:webHidden/>
            <w:sz w:val="20"/>
          </w:rPr>
          <w:fldChar w:fldCharType="end"/>
        </w:r>
      </w:hyperlink>
    </w:p>
    <w:p w14:paraId="7C254E5F" w14:textId="77777777" w:rsidR="002C0E13" w:rsidRPr="002C0E13" w:rsidRDefault="00591809">
      <w:pPr>
        <w:pStyle w:val="TOC2"/>
        <w:rPr>
          <w:rFonts w:asciiTheme="minorHAnsi" w:eastAsiaTheme="minorEastAsia" w:hAnsiTheme="minorHAnsi" w:cstheme="minorBidi"/>
          <w:b w:val="0"/>
          <w:noProof/>
          <w:sz w:val="20"/>
          <w:szCs w:val="22"/>
        </w:rPr>
      </w:pPr>
      <w:hyperlink w:anchor="_Toc377313525" w:history="1">
        <w:r w:rsidR="002C0E13" w:rsidRPr="002C0E13">
          <w:rPr>
            <w:rStyle w:val="Hyperlink"/>
            <w:noProof/>
            <w:sz w:val="20"/>
          </w:rPr>
          <w:t>1.1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Summary of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_Toc377313525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4</w:t>
        </w:r>
        <w:r w:rsidR="002C0E13" w:rsidRPr="002C0E13">
          <w:rPr>
            <w:noProof/>
            <w:webHidden/>
            <w:sz w:val="20"/>
          </w:rPr>
          <w:fldChar w:fldCharType="end"/>
        </w:r>
      </w:hyperlink>
    </w:p>
    <w:p w14:paraId="3E3C9A0F" w14:textId="77777777" w:rsidR="002C0E13" w:rsidRPr="002C0E13" w:rsidRDefault="00591809">
      <w:pPr>
        <w:pStyle w:val="TOC2"/>
        <w:rPr>
          <w:rFonts w:asciiTheme="minorHAnsi" w:eastAsiaTheme="minorEastAsia" w:hAnsiTheme="minorHAnsi" w:cstheme="minorBidi"/>
          <w:b w:val="0"/>
          <w:noProof/>
          <w:sz w:val="20"/>
          <w:szCs w:val="22"/>
        </w:rPr>
      </w:pPr>
      <w:hyperlink w:anchor="_Toc377313526" w:history="1">
        <w:r w:rsidR="002C0E13" w:rsidRPr="002C0E13">
          <w:rPr>
            <w:rStyle w:val="Hyperlink"/>
            <w:noProof/>
            <w:sz w:val="20"/>
          </w:rPr>
          <w:t>1.2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Summary of Key Risks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_Toc377313526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6</w:t>
        </w:r>
        <w:r w:rsidR="002C0E13" w:rsidRPr="002C0E13">
          <w:rPr>
            <w:noProof/>
            <w:webHidden/>
            <w:sz w:val="20"/>
          </w:rPr>
          <w:fldChar w:fldCharType="end"/>
        </w:r>
      </w:hyperlink>
    </w:p>
    <w:p w14:paraId="35EEFB8E" w14:textId="77777777" w:rsidR="002C0E13" w:rsidRPr="002C0E13" w:rsidRDefault="00591809">
      <w:pPr>
        <w:pStyle w:val="TOC2"/>
        <w:rPr>
          <w:rFonts w:asciiTheme="minorHAnsi" w:eastAsiaTheme="minorEastAsia" w:hAnsiTheme="minorHAnsi" w:cstheme="minorBidi"/>
          <w:b w:val="0"/>
          <w:noProof/>
          <w:sz w:val="20"/>
          <w:szCs w:val="22"/>
        </w:rPr>
      </w:pPr>
      <w:hyperlink w:anchor="_Toc377313527" w:history="1">
        <w:r w:rsidR="002C0E13" w:rsidRPr="002C0E13">
          <w:rPr>
            <w:rStyle w:val="Hyperlink"/>
            <w:noProof/>
            <w:sz w:val="20"/>
          </w:rPr>
          <w:t>1.3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Recommendations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_Toc377313527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7</w:t>
        </w:r>
        <w:r w:rsidR="002C0E13" w:rsidRPr="002C0E13">
          <w:rPr>
            <w:noProof/>
            <w:webHidden/>
            <w:sz w:val="20"/>
          </w:rPr>
          <w:fldChar w:fldCharType="end"/>
        </w:r>
      </w:hyperlink>
    </w:p>
    <w:p w14:paraId="2C3542B7"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28" w:history="1">
        <w:r w:rsidR="002C0E13" w:rsidRPr="002C0E13">
          <w:rPr>
            <w:rStyle w:val="Hyperlink"/>
            <w:sz w:val="20"/>
          </w:rPr>
          <w:t>2.0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Overview of Document and Background</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_Toc377313528 \h </w:instrText>
        </w:r>
        <w:r w:rsidR="002C0E13" w:rsidRPr="002C0E13">
          <w:rPr>
            <w:webHidden/>
            <w:sz w:val="20"/>
          </w:rPr>
        </w:r>
        <w:r w:rsidR="002C0E13" w:rsidRPr="002C0E13">
          <w:rPr>
            <w:webHidden/>
            <w:sz w:val="20"/>
          </w:rPr>
          <w:fldChar w:fldCharType="separate"/>
        </w:r>
        <w:r w:rsidR="002C0E13" w:rsidRPr="002C0E13">
          <w:rPr>
            <w:webHidden/>
            <w:sz w:val="20"/>
          </w:rPr>
          <w:t>8</w:t>
        </w:r>
        <w:r w:rsidR="002C0E13" w:rsidRPr="002C0E13">
          <w:rPr>
            <w:webHidden/>
            <w:sz w:val="20"/>
          </w:rPr>
          <w:fldChar w:fldCharType="end"/>
        </w:r>
      </w:hyperlink>
    </w:p>
    <w:p w14:paraId="124D2EF0" w14:textId="77777777" w:rsidR="002C0E13" w:rsidRPr="002C0E13" w:rsidRDefault="00591809">
      <w:pPr>
        <w:pStyle w:val="TOC2"/>
        <w:rPr>
          <w:rFonts w:asciiTheme="minorHAnsi" w:eastAsiaTheme="minorEastAsia" w:hAnsiTheme="minorHAnsi" w:cstheme="minorBidi"/>
          <w:b w:val="0"/>
          <w:noProof/>
          <w:sz w:val="20"/>
          <w:szCs w:val="22"/>
        </w:rPr>
      </w:pPr>
      <w:hyperlink w:anchor="_Toc377313529" w:history="1">
        <w:r w:rsidR="002C0E13" w:rsidRPr="002C0E13">
          <w:rPr>
            <w:rStyle w:val="Hyperlink"/>
            <w:noProof/>
            <w:sz w:val="20"/>
          </w:rPr>
          <w:t>2.1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Scope of this Independent Review</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_Toc377313529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8</w:t>
        </w:r>
        <w:r w:rsidR="002C0E13" w:rsidRPr="002C0E13">
          <w:rPr>
            <w:noProof/>
            <w:webHidden/>
            <w:sz w:val="20"/>
          </w:rPr>
          <w:fldChar w:fldCharType="end"/>
        </w:r>
      </w:hyperlink>
    </w:p>
    <w:p w14:paraId="360E7977"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0" w:history="1">
        <w:r w:rsidR="002C0E13" w:rsidRPr="002C0E13">
          <w:rPr>
            <w:rStyle w:val="Hyperlink"/>
            <w:noProof/>
            <w:sz w:val="20"/>
          </w:rPr>
          <w:t>2.2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SOW Requirements and Activities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_Toc377313530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9</w:t>
        </w:r>
        <w:r w:rsidR="002C0E13" w:rsidRPr="002C0E13">
          <w:rPr>
            <w:noProof/>
            <w:webHidden/>
            <w:sz w:val="20"/>
          </w:rPr>
          <w:fldChar w:fldCharType="end"/>
        </w:r>
      </w:hyperlink>
    </w:p>
    <w:p w14:paraId="6456A09F"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1" w:history="1">
        <w:r w:rsidR="002C0E13" w:rsidRPr="002C0E13">
          <w:rPr>
            <w:rStyle w:val="Hyperlink"/>
            <w:noProof/>
            <w:sz w:val="20"/>
          </w:rPr>
          <w:t>2.3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ITS Project Background</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_Toc377313531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12</w:t>
        </w:r>
        <w:r w:rsidR="002C0E13" w:rsidRPr="002C0E13">
          <w:rPr>
            <w:noProof/>
            <w:webHidden/>
            <w:sz w:val="20"/>
          </w:rPr>
          <w:fldChar w:fldCharType="end"/>
        </w:r>
      </w:hyperlink>
    </w:p>
    <w:p w14:paraId="6A5CDE28"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2" w:history="1">
        <w:r w:rsidR="002C0E13" w:rsidRPr="002C0E13">
          <w:rPr>
            <w:rStyle w:val="Hyperlink"/>
            <w:noProof/>
            <w:sz w:val="20"/>
          </w:rPr>
          <w:t>2.4</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Project Cost Summary</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_Toc377313532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13</w:t>
        </w:r>
        <w:r w:rsidR="002C0E13" w:rsidRPr="002C0E13">
          <w:rPr>
            <w:noProof/>
            <w:webHidden/>
            <w:sz w:val="20"/>
          </w:rPr>
          <w:fldChar w:fldCharType="end"/>
        </w:r>
      </w:hyperlink>
    </w:p>
    <w:p w14:paraId="07C3A20A"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3" w:history="1">
        <w:r w:rsidR="002C0E13" w:rsidRPr="002C0E13">
          <w:rPr>
            <w:rStyle w:val="Hyperlink"/>
            <w:noProof/>
            <w:sz w:val="20"/>
          </w:rPr>
          <w:t>2.5</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Limitations of this Review</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_Toc377313533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14</w:t>
        </w:r>
        <w:r w:rsidR="002C0E13" w:rsidRPr="002C0E13">
          <w:rPr>
            <w:noProof/>
            <w:webHidden/>
            <w:sz w:val="20"/>
          </w:rPr>
          <w:fldChar w:fldCharType="end"/>
        </w:r>
      </w:hyperlink>
    </w:p>
    <w:p w14:paraId="772C169F"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4" w:history="1">
        <w:r w:rsidR="002C0E13" w:rsidRPr="002C0E13">
          <w:rPr>
            <w:rStyle w:val="Hyperlink"/>
            <w:noProof/>
            <w:sz w:val="20"/>
          </w:rPr>
          <w:t>2.6</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Proposal Review</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_Toc377313534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15</w:t>
        </w:r>
        <w:r w:rsidR="002C0E13" w:rsidRPr="002C0E13">
          <w:rPr>
            <w:noProof/>
            <w:webHidden/>
            <w:sz w:val="20"/>
          </w:rPr>
          <w:fldChar w:fldCharType="end"/>
        </w:r>
      </w:hyperlink>
    </w:p>
    <w:p w14:paraId="716CCC6B"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35" w:history="1">
        <w:r w:rsidR="002C0E13" w:rsidRPr="002C0E13">
          <w:rPr>
            <w:rStyle w:val="Hyperlink"/>
            <w:sz w:val="20"/>
          </w:rPr>
          <w:t>3.0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Acquisition Cost Assessment</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_Toc377313535 \h </w:instrText>
        </w:r>
        <w:r w:rsidR="002C0E13" w:rsidRPr="002C0E13">
          <w:rPr>
            <w:webHidden/>
            <w:sz w:val="20"/>
          </w:rPr>
        </w:r>
        <w:r w:rsidR="002C0E13" w:rsidRPr="002C0E13">
          <w:rPr>
            <w:webHidden/>
            <w:sz w:val="20"/>
          </w:rPr>
          <w:fldChar w:fldCharType="separate"/>
        </w:r>
        <w:r w:rsidR="002C0E13" w:rsidRPr="002C0E13">
          <w:rPr>
            <w:webHidden/>
            <w:sz w:val="20"/>
          </w:rPr>
          <w:t>18</w:t>
        </w:r>
        <w:r w:rsidR="002C0E13" w:rsidRPr="002C0E13">
          <w:rPr>
            <w:webHidden/>
            <w:sz w:val="20"/>
          </w:rPr>
          <w:fldChar w:fldCharType="end"/>
        </w:r>
      </w:hyperlink>
    </w:p>
    <w:p w14:paraId="75EB0C0B"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6" w:history="1">
        <w:r w:rsidR="002C0E13" w:rsidRPr="002C0E13">
          <w:rPr>
            <w:rStyle w:val="Hyperlink"/>
            <w:noProof/>
            <w:sz w:val="20"/>
          </w:rPr>
          <w:t>3.1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Project Cost Summary</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_Toc377313536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18</w:t>
        </w:r>
        <w:r w:rsidR="002C0E13" w:rsidRPr="002C0E13">
          <w:rPr>
            <w:noProof/>
            <w:webHidden/>
            <w:sz w:val="20"/>
          </w:rPr>
          <w:fldChar w:fldCharType="end"/>
        </w:r>
      </w:hyperlink>
    </w:p>
    <w:p w14:paraId="553A06D8"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7" w:history="1">
        <w:r w:rsidR="002C0E13" w:rsidRPr="002C0E13">
          <w:rPr>
            <w:rStyle w:val="Hyperlink"/>
            <w:noProof/>
            <w:sz w:val="20"/>
          </w:rPr>
          <w:t>3.2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Cost of Hardware</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_Toc377313537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19</w:t>
        </w:r>
        <w:r w:rsidR="002C0E13" w:rsidRPr="002C0E13">
          <w:rPr>
            <w:noProof/>
            <w:webHidden/>
            <w:sz w:val="20"/>
          </w:rPr>
          <w:fldChar w:fldCharType="end"/>
        </w:r>
      </w:hyperlink>
    </w:p>
    <w:p w14:paraId="2E256842"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8" w:history="1">
        <w:r w:rsidR="002C0E13" w:rsidRPr="002C0E13">
          <w:rPr>
            <w:rStyle w:val="Hyperlink"/>
            <w:noProof/>
            <w:sz w:val="20"/>
          </w:rPr>
          <w:t>3.3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Cost of Software</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_Toc377313538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19</w:t>
        </w:r>
        <w:r w:rsidR="002C0E13" w:rsidRPr="002C0E13">
          <w:rPr>
            <w:noProof/>
            <w:webHidden/>
            <w:sz w:val="20"/>
          </w:rPr>
          <w:fldChar w:fldCharType="end"/>
        </w:r>
      </w:hyperlink>
    </w:p>
    <w:p w14:paraId="6C1D7302" w14:textId="77777777" w:rsidR="002C0E13" w:rsidRPr="002C0E13" w:rsidRDefault="00591809">
      <w:pPr>
        <w:pStyle w:val="TOC2"/>
        <w:rPr>
          <w:rFonts w:asciiTheme="minorHAnsi" w:eastAsiaTheme="minorEastAsia" w:hAnsiTheme="minorHAnsi" w:cstheme="minorBidi"/>
          <w:b w:val="0"/>
          <w:noProof/>
          <w:sz w:val="20"/>
          <w:szCs w:val="22"/>
        </w:rPr>
      </w:pPr>
      <w:hyperlink w:anchor="_Toc377313539" w:history="1">
        <w:r w:rsidR="002C0E13" w:rsidRPr="002C0E13">
          <w:rPr>
            <w:rStyle w:val="Hyperlink"/>
            <w:noProof/>
            <w:sz w:val="20"/>
          </w:rPr>
          <w:t>3.4</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Cost of Services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_Toc377313539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20</w:t>
        </w:r>
        <w:r w:rsidR="002C0E13" w:rsidRPr="002C0E13">
          <w:rPr>
            <w:noProof/>
            <w:webHidden/>
            <w:sz w:val="20"/>
          </w:rPr>
          <w:fldChar w:fldCharType="end"/>
        </w:r>
      </w:hyperlink>
    </w:p>
    <w:p w14:paraId="40D1F50F"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0" w:history="1">
        <w:r w:rsidR="002C0E13" w:rsidRPr="002C0E13">
          <w:rPr>
            <w:rStyle w:val="Hyperlink"/>
            <w:noProof/>
            <w:sz w:val="20"/>
          </w:rPr>
          <w:t>3.5</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Additional Costs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_Toc377313540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21</w:t>
        </w:r>
        <w:r w:rsidR="002C0E13" w:rsidRPr="002C0E13">
          <w:rPr>
            <w:noProof/>
            <w:webHidden/>
            <w:sz w:val="20"/>
          </w:rPr>
          <w:fldChar w:fldCharType="end"/>
        </w:r>
      </w:hyperlink>
    </w:p>
    <w:p w14:paraId="51B3187D"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1" w:history="1">
        <w:r w:rsidR="002C0E13" w:rsidRPr="002C0E13">
          <w:rPr>
            <w:rStyle w:val="Hyperlink"/>
            <w:noProof/>
            <w:sz w:val="20"/>
          </w:rPr>
          <w:t>3.6</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_Toc377313541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21</w:t>
        </w:r>
        <w:r w:rsidR="002C0E13" w:rsidRPr="002C0E13">
          <w:rPr>
            <w:noProof/>
            <w:webHidden/>
            <w:sz w:val="20"/>
          </w:rPr>
          <w:fldChar w:fldCharType="end"/>
        </w:r>
      </w:hyperlink>
    </w:p>
    <w:p w14:paraId="5EBF5DA8"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42" w:history="1">
        <w:r w:rsidR="002C0E13" w:rsidRPr="002C0E13">
          <w:rPr>
            <w:rStyle w:val="Hyperlink"/>
            <w:sz w:val="20"/>
          </w:rPr>
          <w:t>4.0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Technical Architecture Review</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_Toc377313542 \h </w:instrText>
        </w:r>
        <w:r w:rsidR="002C0E13" w:rsidRPr="002C0E13">
          <w:rPr>
            <w:webHidden/>
            <w:sz w:val="20"/>
          </w:rPr>
        </w:r>
        <w:r w:rsidR="002C0E13" w:rsidRPr="002C0E13">
          <w:rPr>
            <w:webHidden/>
            <w:sz w:val="20"/>
          </w:rPr>
          <w:fldChar w:fldCharType="separate"/>
        </w:r>
        <w:r w:rsidR="002C0E13" w:rsidRPr="002C0E13">
          <w:rPr>
            <w:webHidden/>
            <w:sz w:val="20"/>
          </w:rPr>
          <w:t>23</w:t>
        </w:r>
        <w:r w:rsidR="002C0E13" w:rsidRPr="002C0E13">
          <w:rPr>
            <w:webHidden/>
            <w:sz w:val="20"/>
          </w:rPr>
          <w:fldChar w:fldCharType="end"/>
        </w:r>
      </w:hyperlink>
    </w:p>
    <w:p w14:paraId="6E78E599"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3" w:history="1">
        <w:r w:rsidR="002C0E13" w:rsidRPr="002C0E13">
          <w:rPr>
            <w:rStyle w:val="Hyperlink"/>
            <w:noProof/>
            <w:sz w:val="20"/>
          </w:rPr>
          <w:t>4.1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Support for State’s Strategic Enterprise Systems Direction</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_Toc377313543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23</w:t>
        </w:r>
        <w:r w:rsidR="002C0E13" w:rsidRPr="002C0E13">
          <w:rPr>
            <w:noProof/>
            <w:webHidden/>
            <w:sz w:val="20"/>
          </w:rPr>
          <w:fldChar w:fldCharType="end"/>
        </w:r>
      </w:hyperlink>
    </w:p>
    <w:p w14:paraId="2F0D0A2E"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4" w:history="1">
        <w:r w:rsidR="002C0E13" w:rsidRPr="002C0E13">
          <w:rPr>
            <w:rStyle w:val="Hyperlink"/>
            <w:noProof/>
            <w:sz w:val="20"/>
          </w:rPr>
          <w:t>4.2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System Integration Requirements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_Toc377313544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26</w:t>
        </w:r>
        <w:r w:rsidR="002C0E13" w:rsidRPr="002C0E13">
          <w:rPr>
            <w:noProof/>
            <w:webHidden/>
            <w:sz w:val="20"/>
          </w:rPr>
          <w:fldChar w:fldCharType="end"/>
        </w:r>
      </w:hyperlink>
    </w:p>
    <w:p w14:paraId="224C5A42"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5" w:history="1">
        <w:r w:rsidR="002C0E13" w:rsidRPr="002C0E13">
          <w:rPr>
            <w:rStyle w:val="Hyperlink"/>
            <w:noProof/>
            <w:sz w:val="20"/>
          </w:rPr>
          <w:t>4.3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Ability of the Technology Vendor to Support the Business Needs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_Toc377313545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27</w:t>
        </w:r>
        <w:r w:rsidR="002C0E13" w:rsidRPr="002C0E13">
          <w:rPr>
            <w:noProof/>
            <w:webHidden/>
            <w:sz w:val="20"/>
          </w:rPr>
          <w:fldChar w:fldCharType="end"/>
        </w:r>
      </w:hyperlink>
    </w:p>
    <w:p w14:paraId="662F5DC2"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6" w:history="1">
        <w:r w:rsidR="002C0E13" w:rsidRPr="002C0E13">
          <w:rPr>
            <w:rStyle w:val="Hyperlink"/>
            <w:noProof/>
            <w:sz w:val="20"/>
          </w:rPr>
          <w:t>4.4</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Vendor Compliance to Required Project Policies, Guidelines and Methodologies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_Toc377313546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27</w:t>
        </w:r>
        <w:r w:rsidR="002C0E13" w:rsidRPr="002C0E13">
          <w:rPr>
            <w:noProof/>
            <w:webHidden/>
            <w:sz w:val="20"/>
          </w:rPr>
          <w:fldChar w:fldCharType="end"/>
        </w:r>
      </w:hyperlink>
    </w:p>
    <w:p w14:paraId="422CB5C4"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7" w:history="1">
        <w:r w:rsidR="002C0E13" w:rsidRPr="002C0E13">
          <w:rPr>
            <w:rStyle w:val="Hyperlink"/>
            <w:noProof/>
            <w:sz w:val="20"/>
          </w:rPr>
          <w:t>4.5</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_Toc377313547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27</w:t>
        </w:r>
        <w:r w:rsidR="002C0E13" w:rsidRPr="002C0E13">
          <w:rPr>
            <w:noProof/>
            <w:webHidden/>
            <w:sz w:val="20"/>
          </w:rPr>
          <w:fldChar w:fldCharType="end"/>
        </w:r>
      </w:hyperlink>
    </w:p>
    <w:p w14:paraId="4845F552"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48" w:history="1">
        <w:r w:rsidR="002C0E13" w:rsidRPr="002C0E13">
          <w:rPr>
            <w:rStyle w:val="Hyperlink"/>
            <w:sz w:val="20"/>
          </w:rPr>
          <w:t>5.0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Assessment of Implementation Plan</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_Toc377313548 \h </w:instrText>
        </w:r>
        <w:r w:rsidR="002C0E13" w:rsidRPr="002C0E13">
          <w:rPr>
            <w:webHidden/>
            <w:sz w:val="20"/>
          </w:rPr>
        </w:r>
        <w:r w:rsidR="002C0E13" w:rsidRPr="002C0E13">
          <w:rPr>
            <w:webHidden/>
            <w:sz w:val="20"/>
          </w:rPr>
          <w:fldChar w:fldCharType="separate"/>
        </w:r>
        <w:r w:rsidR="002C0E13" w:rsidRPr="002C0E13">
          <w:rPr>
            <w:webHidden/>
            <w:sz w:val="20"/>
          </w:rPr>
          <w:t>29</w:t>
        </w:r>
        <w:r w:rsidR="002C0E13" w:rsidRPr="002C0E13">
          <w:rPr>
            <w:webHidden/>
            <w:sz w:val="20"/>
          </w:rPr>
          <w:fldChar w:fldCharType="end"/>
        </w:r>
      </w:hyperlink>
    </w:p>
    <w:p w14:paraId="3EE131D1" w14:textId="77777777" w:rsidR="002C0E13" w:rsidRPr="002C0E13" w:rsidRDefault="00591809">
      <w:pPr>
        <w:pStyle w:val="TOC2"/>
        <w:rPr>
          <w:rFonts w:asciiTheme="minorHAnsi" w:eastAsiaTheme="minorEastAsia" w:hAnsiTheme="minorHAnsi" w:cstheme="minorBidi"/>
          <w:b w:val="0"/>
          <w:noProof/>
          <w:sz w:val="20"/>
          <w:szCs w:val="22"/>
        </w:rPr>
      </w:pPr>
      <w:hyperlink w:anchor="_Toc377313549" w:history="1">
        <w:r w:rsidR="002C0E13" w:rsidRPr="002C0E13">
          <w:rPr>
            <w:rStyle w:val="Hyperlink"/>
            <w:noProof/>
            <w:sz w:val="20"/>
          </w:rPr>
          <w:t>5.1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Reality of the Timetable</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_Toc377313549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29</w:t>
        </w:r>
        <w:r w:rsidR="002C0E13" w:rsidRPr="002C0E13">
          <w:rPr>
            <w:noProof/>
            <w:webHidden/>
            <w:sz w:val="20"/>
          </w:rPr>
          <w:fldChar w:fldCharType="end"/>
        </w:r>
      </w:hyperlink>
    </w:p>
    <w:p w14:paraId="6040EF66"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0" w:history="1">
        <w:r w:rsidR="002C0E13" w:rsidRPr="002C0E13">
          <w:rPr>
            <w:rStyle w:val="Hyperlink"/>
            <w:noProof/>
            <w:sz w:val="20"/>
          </w:rPr>
          <w:t>5.2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Vendor’s Proposed Risk Management Plan</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_Toc377313550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30</w:t>
        </w:r>
        <w:r w:rsidR="002C0E13" w:rsidRPr="002C0E13">
          <w:rPr>
            <w:noProof/>
            <w:webHidden/>
            <w:sz w:val="20"/>
          </w:rPr>
          <w:fldChar w:fldCharType="end"/>
        </w:r>
      </w:hyperlink>
    </w:p>
    <w:p w14:paraId="362CF90B"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1" w:history="1">
        <w:r w:rsidR="002C0E13" w:rsidRPr="002C0E13">
          <w:rPr>
            <w:rStyle w:val="Hyperlink"/>
            <w:noProof/>
            <w:sz w:val="20"/>
          </w:rPr>
          <w:t>5.3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Design, Conversion and Implementation Plans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_Toc377313551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30</w:t>
        </w:r>
        <w:r w:rsidR="002C0E13" w:rsidRPr="002C0E13">
          <w:rPr>
            <w:noProof/>
            <w:webHidden/>
            <w:sz w:val="20"/>
          </w:rPr>
          <w:fldChar w:fldCharType="end"/>
        </w:r>
      </w:hyperlink>
    </w:p>
    <w:p w14:paraId="765ADE6E"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2" w:history="1">
        <w:r w:rsidR="002C0E13" w:rsidRPr="002C0E13">
          <w:rPr>
            <w:rStyle w:val="Hyperlink"/>
            <w:noProof/>
            <w:sz w:val="20"/>
          </w:rPr>
          <w:t>5.4</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Support for Conversion and Implementation Activities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_Toc377313552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30</w:t>
        </w:r>
        <w:r w:rsidR="002C0E13" w:rsidRPr="002C0E13">
          <w:rPr>
            <w:noProof/>
            <w:webHidden/>
            <w:sz w:val="20"/>
          </w:rPr>
          <w:fldChar w:fldCharType="end"/>
        </w:r>
      </w:hyperlink>
    </w:p>
    <w:p w14:paraId="17140E16"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3" w:history="1">
        <w:r w:rsidR="002C0E13" w:rsidRPr="002C0E13">
          <w:rPr>
            <w:rStyle w:val="Hyperlink"/>
            <w:noProof/>
            <w:sz w:val="20"/>
          </w:rPr>
          <w:t>5.5</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Vendor’s Training Plan</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_Toc377313553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30</w:t>
        </w:r>
        <w:r w:rsidR="002C0E13" w:rsidRPr="002C0E13">
          <w:rPr>
            <w:noProof/>
            <w:webHidden/>
            <w:sz w:val="20"/>
          </w:rPr>
          <w:fldChar w:fldCharType="end"/>
        </w:r>
      </w:hyperlink>
    </w:p>
    <w:p w14:paraId="776D19A9"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4" w:history="1">
        <w:r w:rsidR="002C0E13" w:rsidRPr="002C0E13">
          <w:rPr>
            <w:rStyle w:val="Hyperlink"/>
            <w:noProof/>
            <w:sz w:val="20"/>
          </w:rPr>
          <w:t>5.6</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Planned Testing Procedures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_Toc377313554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31</w:t>
        </w:r>
        <w:r w:rsidR="002C0E13" w:rsidRPr="002C0E13">
          <w:rPr>
            <w:noProof/>
            <w:webHidden/>
            <w:sz w:val="20"/>
          </w:rPr>
          <w:fldChar w:fldCharType="end"/>
        </w:r>
      </w:hyperlink>
    </w:p>
    <w:p w14:paraId="2F7E6706"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5" w:history="1">
        <w:r w:rsidR="002C0E13" w:rsidRPr="002C0E13">
          <w:rPr>
            <w:rStyle w:val="Hyperlink"/>
            <w:noProof/>
            <w:sz w:val="20"/>
          </w:rPr>
          <w:t>5.7</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_Toc377313555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31</w:t>
        </w:r>
        <w:r w:rsidR="002C0E13" w:rsidRPr="002C0E13">
          <w:rPr>
            <w:noProof/>
            <w:webHidden/>
            <w:sz w:val="20"/>
          </w:rPr>
          <w:fldChar w:fldCharType="end"/>
        </w:r>
      </w:hyperlink>
    </w:p>
    <w:p w14:paraId="1F432A1F"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56" w:history="1">
        <w:r w:rsidR="002C0E13" w:rsidRPr="002C0E13">
          <w:rPr>
            <w:rStyle w:val="Hyperlink"/>
            <w:sz w:val="20"/>
          </w:rPr>
          <w:t>6.0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Assessment of Organizational Readiness</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_Toc377313556 \h </w:instrText>
        </w:r>
        <w:r w:rsidR="002C0E13" w:rsidRPr="002C0E13">
          <w:rPr>
            <w:webHidden/>
            <w:sz w:val="20"/>
          </w:rPr>
        </w:r>
        <w:r w:rsidR="002C0E13" w:rsidRPr="002C0E13">
          <w:rPr>
            <w:webHidden/>
            <w:sz w:val="20"/>
          </w:rPr>
          <w:fldChar w:fldCharType="separate"/>
        </w:r>
        <w:r w:rsidR="002C0E13" w:rsidRPr="002C0E13">
          <w:rPr>
            <w:webHidden/>
            <w:sz w:val="20"/>
          </w:rPr>
          <w:t>33</w:t>
        </w:r>
        <w:r w:rsidR="002C0E13" w:rsidRPr="002C0E13">
          <w:rPr>
            <w:webHidden/>
            <w:sz w:val="20"/>
          </w:rPr>
          <w:fldChar w:fldCharType="end"/>
        </w:r>
      </w:hyperlink>
    </w:p>
    <w:p w14:paraId="6EB3B20A"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7" w:history="1">
        <w:r w:rsidR="002C0E13" w:rsidRPr="002C0E13">
          <w:rPr>
            <w:rStyle w:val="Hyperlink"/>
            <w:noProof/>
            <w:sz w:val="20"/>
          </w:rPr>
          <w:t>6.1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General Project Acceptance / Readiness for Change</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_Toc377313557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33</w:t>
        </w:r>
        <w:r w:rsidR="002C0E13" w:rsidRPr="002C0E13">
          <w:rPr>
            <w:noProof/>
            <w:webHidden/>
            <w:sz w:val="20"/>
          </w:rPr>
          <w:fldChar w:fldCharType="end"/>
        </w:r>
      </w:hyperlink>
    </w:p>
    <w:p w14:paraId="7EC20E1C"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8" w:history="1">
        <w:r w:rsidR="002C0E13" w:rsidRPr="002C0E13">
          <w:rPr>
            <w:rStyle w:val="Hyperlink"/>
            <w:noProof/>
            <w:sz w:val="20"/>
          </w:rPr>
          <w:t>6.2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Adequacy of Department and Partner Staff to Provide Project Management</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_Toc377313558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33</w:t>
        </w:r>
        <w:r w:rsidR="002C0E13" w:rsidRPr="002C0E13">
          <w:rPr>
            <w:noProof/>
            <w:webHidden/>
            <w:sz w:val="20"/>
          </w:rPr>
          <w:fldChar w:fldCharType="end"/>
        </w:r>
      </w:hyperlink>
    </w:p>
    <w:p w14:paraId="75A43856" w14:textId="77777777" w:rsidR="002C0E13" w:rsidRPr="002C0E13" w:rsidRDefault="00591809">
      <w:pPr>
        <w:pStyle w:val="TOC2"/>
        <w:rPr>
          <w:rFonts w:asciiTheme="minorHAnsi" w:eastAsiaTheme="minorEastAsia" w:hAnsiTheme="minorHAnsi" w:cstheme="minorBidi"/>
          <w:b w:val="0"/>
          <w:noProof/>
          <w:sz w:val="20"/>
          <w:szCs w:val="22"/>
        </w:rPr>
      </w:pPr>
      <w:hyperlink w:anchor="_Toc377313559" w:history="1">
        <w:r w:rsidR="002C0E13" w:rsidRPr="002C0E13">
          <w:rPr>
            <w:rStyle w:val="Hyperlink"/>
            <w:noProof/>
            <w:sz w:val="20"/>
          </w:rPr>
          <w:t>6.3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Ability of the User and Operational Staff to Integrate Solution to their Work</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_Toc377313559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33</w:t>
        </w:r>
        <w:r w:rsidR="002C0E13" w:rsidRPr="002C0E13">
          <w:rPr>
            <w:noProof/>
            <w:webHidden/>
            <w:sz w:val="20"/>
          </w:rPr>
          <w:fldChar w:fldCharType="end"/>
        </w:r>
      </w:hyperlink>
    </w:p>
    <w:p w14:paraId="3812384C" w14:textId="77777777" w:rsidR="002C0E13" w:rsidRPr="002C0E13" w:rsidRDefault="00591809">
      <w:pPr>
        <w:pStyle w:val="TOC2"/>
        <w:rPr>
          <w:rFonts w:asciiTheme="minorHAnsi" w:eastAsiaTheme="minorEastAsia" w:hAnsiTheme="minorHAnsi" w:cstheme="minorBidi"/>
          <w:b w:val="0"/>
          <w:noProof/>
          <w:sz w:val="20"/>
          <w:szCs w:val="22"/>
        </w:rPr>
      </w:pPr>
      <w:hyperlink w:anchor="_Toc377313560" w:history="1">
        <w:r w:rsidR="002C0E13" w:rsidRPr="002C0E13">
          <w:rPr>
            <w:rStyle w:val="Hyperlink"/>
            <w:noProof/>
            <w:sz w:val="20"/>
          </w:rPr>
          <w:t>6.4</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_Toc377313560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34</w:t>
        </w:r>
        <w:r w:rsidR="002C0E13" w:rsidRPr="002C0E13">
          <w:rPr>
            <w:noProof/>
            <w:webHidden/>
            <w:sz w:val="20"/>
          </w:rPr>
          <w:fldChar w:fldCharType="end"/>
        </w:r>
      </w:hyperlink>
    </w:p>
    <w:p w14:paraId="2E069B98"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61" w:history="1">
        <w:r w:rsidR="002C0E13" w:rsidRPr="002C0E13">
          <w:rPr>
            <w:rStyle w:val="Hyperlink"/>
            <w:sz w:val="20"/>
          </w:rPr>
          <w:t>7.0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Cost Benefit Analysis</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_Toc377313561 \h </w:instrText>
        </w:r>
        <w:r w:rsidR="002C0E13" w:rsidRPr="002C0E13">
          <w:rPr>
            <w:webHidden/>
            <w:sz w:val="20"/>
          </w:rPr>
        </w:r>
        <w:r w:rsidR="002C0E13" w:rsidRPr="002C0E13">
          <w:rPr>
            <w:webHidden/>
            <w:sz w:val="20"/>
          </w:rPr>
          <w:fldChar w:fldCharType="separate"/>
        </w:r>
        <w:r w:rsidR="002C0E13" w:rsidRPr="002C0E13">
          <w:rPr>
            <w:webHidden/>
            <w:sz w:val="20"/>
          </w:rPr>
          <w:t>35</w:t>
        </w:r>
        <w:r w:rsidR="002C0E13" w:rsidRPr="002C0E13">
          <w:rPr>
            <w:webHidden/>
            <w:sz w:val="20"/>
          </w:rPr>
          <w:fldChar w:fldCharType="end"/>
        </w:r>
      </w:hyperlink>
    </w:p>
    <w:p w14:paraId="4E8BE3D8" w14:textId="77777777" w:rsidR="002C0E13" w:rsidRPr="002C0E13" w:rsidRDefault="00591809">
      <w:pPr>
        <w:pStyle w:val="TOC2"/>
        <w:rPr>
          <w:rFonts w:asciiTheme="minorHAnsi" w:eastAsiaTheme="minorEastAsia" w:hAnsiTheme="minorHAnsi" w:cstheme="minorBidi"/>
          <w:b w:val="0"/>
          <w:noProof/>
          <w:sz w:val="20"/>
          <w:szCs w:val="22"/>
        </w:rPr>
      </w:pPr>
      <w:hyperlink w:anchor="_Toc377313562" w:history="1">
        <w:r w:rsidR="002C0E13" w:rsidRPr="002C0E13">
          <w:rPr>
            <w:rStyle w:val="Hyperlink"/>
            <w:noProof/>
            <w:sz w:val="20"/>
          </w:rPr>
          <w:t>7.1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Costs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_Toc377313562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35</w:t>
        </w:r>
        <w:r w:rsidR="002C0E13" w:rsidRPr="002C0E13">
          <w:rPr>
            <w:noProof/>
            <w:webHidden/>
            <w:sz w:val="20"/>
          </w:rPr>
          <w:fldChar w:fldCharType="end"/>
        </w:r>
      </w:hyperlink>
    </w:p>
    <w:p w14:paraId="67B0B633" w14:textId="77777777" w:rsidR="002C0E13" w:rsidRPr="002C0E13" w:rsidRDefault="00591809">
      <w:pPr>
        <w:pStyle w:val="TOC2"/>
        <w:rPr>
          <w:rFonts w:asciiTheme="minorHAnsi" w:eastAsiaTheme="minorEastAsia" w:hAnsiTheme="minorHAnsi" w:cstheme="minorBidi"/>
          <w:b w:val="0"/>
          <w:noProof/>
          <w:sz w:val="20"/>
          <w:szCs w:val="22"/>
        </w:rPr>
      </w:pPr>
      <w:hyperlink w:anchor="_Toc377313563" w:history="1">
        <w:r w:rsidR="002C0E13" w:rsidRPr="002C0E13">
          <w:rPr>
            <w:rStyle w:val="Hyperlink"/>
            <w:noProof/>
            <w:sz w:val="20"/>
          </w:rPr>
          <w:t>7.2</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Benefits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_Toc377313563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36</w:t>
        </w:r>
        <w:r w:rsidR="002C0E13" w:rsidRPr="002C0E13">
          <w:rPr>
            <w:noProof/>
            <w:webHidden/>
            <w:sz w:val="20"/>
          </w:rPr>
          <w:fldChar w:fldCharType="end"/>
        </w:r>
      </w:hyperlink>
    </w:p>
    <w:p w14:paraId="014AAF7A" w14:textId="77777777" w:rsidR="002C0E13" w:rsidRPr="002C0E13" w:rsidRDefault="00591809">
      <w:pPr>
        <w:pStyle w:val="TOC2"/>
        <w:rPr>
          <w:rFonts w:asciiTheme="minorHAnsi" w:eastAsiaTheme="minorEastAsia" w:hAnsiTheme="minorHAnsi" w:cstheme="minorBidi"/>
          <w:b w:val="0"/>
          <w:noProof/>
          <w:sz w:val="20"/>
          <w:szCs w:val="22"/>
        </w:rPr>
      </w:pPr>
      <w:hyperlink w:anchor="_Toc377313564" w:history="1">
        <w:r w:rsidR="002C0E13" w:rsidRPr="002C0E13">
          <w:rPr>
            <w:rStyle w:val="Hyperlink"/>
            <w:noProof/>
            <w:sz w:val="20"/>
          </w:rPr>
          <w:t>7.3</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Independent Review Findings</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_Toc377313564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36</w:t>
        </w:r>
        <w:r w:rsidR="002C0E13" w:rsidRPr="002C0E13">
          <w:rPr>
            <w:noProof/>
            <w:webHidden/>
            <w:sz w:val="20"/>
          </w:rPr>
          <w:fldChar w:fldCharType="end"/>
        </w:r>
      </w:hyperlink>
    </w:p>
    <w:p w14:paraId="293A92D8"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65" w:history="1">
        <w:r w:rsidR="002C0E13" w:rsidRPr="002C0E13">
          <w:rPr>
            <w:rStyle w:val="Hyperlink"/>
            <w:sz w:val="20"/>
          </w:rPr>
          <w:t>8.0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Risk Management Plan</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_Toc377313565 \h </w:instrText>
        </w:r>
        <w:r w:rsidR="002C0E13" w:rsidRPr="002C0E13">
          <w:rPr>
            <w:webHidden/>
            <w:sz w:val="20"/>
          </w:rPr>
        </w:r>
        <w:r w:rsidR="002C0E13" w:rsidRPr="002C0E13">
          <w:rPr>
            <w:webHidden/>
            <w:sz w:val="20"/>
          </w:rPr>
          <w:fldChar w:fldCharType="separate"/>
        </w:r>
        <w:r w:rsidR="002C0E13" w:rsidRPr="002C0E13">
          <w:rPr>
            <w:webHidden/>
            <w:sz w:val="20"/>
          </w:rPr>
          <w:t>39</w:t>
        </w:r>
        <w:r w:rsidR="002C0E13" w:rsidRPr="002C0E13">
          <w:rPr>
            <w:webHidden/>
            <w:sz w:val="20"/>
          </w:rPr>
          <w:fldChar w:fldCharType="end"/>
        </w:r>
      </w:hyperlink>
    </w:p>
    <w:p w14:paraId="472032CC" w14:textId="77777777" w:rsidR="002C0E13" w:rsidRPr="002C0E13" w:rsidRDefault="00591809">
      <w:pPr>
        <w:pStyle w:val="TOC2"/>
        <w:rPr>
          <w:rFonts w:asciiTheme="minorHAnsi" w:eastAsiaTheme="minorEastAsia" w:hAnsiTheme="minorHAnsi" w:cstheme="minorBidi"/>
          <w:b w:val="0"/>
          <w:noProof/>
          <w:sz w:val="20"/>
          <w:szCs w:val="22"/>
        </w:rPr>
      </w:pPr>
      <w:hyperlink w:anchor="_Toc377313566" w:history="1">
        <w:r w:rsidR="002C0E13" w:rsidRPr="002C0E13">
          <w:rPr>
            <w:rStyle w:val="Hyperlink"/>
            <w:noProof/>
            <w:sz w:val="20"/>
          </w:rPr>
          <w:t>8.1</w:t>
        </w:r>
        <w:r w:rsidR="002C0E13" w:rsidRPr="002C0E13">
          <w:rPr>
            <w:rFonts w:asciiTheme="minorHAnsi" w:eastAsiaTheme="minorEastAsia" w:hAnsiTheme="minorHAnsi" w:cstheme="minorBidi"/>
            <w:b w:val="0"/>
            <w:noProof/>
            <w:sz w:val="20"/>
            <w:szCs w:val="22"/>
          </w:rPr>
          <w:tab/>
        </w:r>
        <w:r w:rsidR="002C0E13" w:rsidRPr="002C0E13">
          <w:rPr>
            <w:rStyle w:val="Hyperlink"/>
            <w:noProof/>
            <w:sz w:val="20"/>
          </w:rPr>
          <w:t>Risk Register and Mitigation Strategies Plan</w:t>
        </w:r>
        <w:r w:rsidR="002C0E13" w:rsidRPr="002C0E13">
          <w:rPr>
            <w:noProof/>
            <w:webHidden/>
            <w:sz w:val="20"/>
          </w:rPr>
          <w:tab/>
        </w:r>
        <w:r w:rsidR="002C0E13" w:rsidRPr="002C0E13">
          <w:rPr>
            <w:noProof/>
            <w:webHidden/>
            <w:sz w:val="20"/>
          </w:rPr>
          <w:fldChar w:fldCharType="begin"/>
        </w:r>
        <w:r w:rsidR="002C0E13" w:rsidRPr="002C0E13">
          <w:rPr>
            <w:noProof/>
            <w:webHidden/>
            <w:sz w:val="20"/>
          </w:rPr>
          <w:instrText xml:space="preserve"> PAGEREF _Toc377313566 \h </w:instrText>
        </w:r>
        <w:r w:rsidR="002C0E13" w:rsidRPr="002C0E13">
          <w:rPr>
            <w:noProof/>
            <w:webHidden/>
            <w:sz w:val="20"/>
          </w:rPr>
        </w:r>
        <w:r w:rsidR="002C0E13" w:rsidRPr="002C0E13">
          <w:rPr>
            <w:noProof/>
            <w:webHidden/>
            <w:sz w:val="20"/>
          </w:rPr>
          <w:fldChar w:fldCharType="separate"/>
        </w:r>
        <w:r w:rsidR="002C0E13" w:rsidRPr="002C0E13">
          <w:rPr>
            <w:noProof/>
            <w:webHidden/>
            <w:sz w:val="20"/>
          </w:rPr>
          <w:t>39</w:t>
        </w:r>
        <w:r w:rsidR="002C0E13" w:rsidRPr="002C0E13">
          <w:rPr>
            <w:noProof/>
            <w:webHidden/>
            <w:sz w:val="20"/>
          </w:rPr>
          <w:fldChar w:fldCharType="end"/>
        </w:r>
      </w:hyperlink>
    </w:p>
    <w:p w14:paraId="3949A8A5"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67" w:history="1">
        <w:r w:rsidR="002C0E13" w:rsidRPr="002C0E13">
          <w:rPr>
            <w:rStyle w:val="Hyperlink"/>
            <w:sz w:val="20"/>
          </w:rPr>
          <w:t>9.0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Appendix A – FAST Rate Card</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_Toc377313567 \h </w:instrText>
        </w:r>
        <w:r w:rsidR="002C0E13" w:rsidRPr="002C0E13">
          <w:rPr>
            <w:webHidden/>
            <w:sz w:val="20"/>
          </w:rPr>
        </w:r>
        <w:r w:rsidR="002C0E13" w:rsidRPr="002C0E13">
          <w:rPr>
            <w:webHidden/>
            <w:sz w:val="20"/>
          </w:rPr>
          <w:fldChar w:fldCharType="separate"/>
        </w:r>
        <w:r w:rsidR="002C0E13" w:rsidRPr="002C0E13">
          <w:rPr>
            <w:webHidden/>
            <w:sz w:val="20"/>
          </w:rPr>
          <w:t>40</w:t>
        </w:r>
        <w:r w:rsidR="002C0E13" w:rsidRPr="002C0E13">
          <w:rPr>
            <w:webHidden/>
            <w:sz w:val="20"/>
          </w:rPr>
          <w:fldChar w:fldCharType="end"/>
        </w:r>
      </w:hyperlink>
    </w:p>
    <w:p w14:paraId="59D78CB8" w14:textId="77777777" w:rsidR="002C0E13" w:rsidRPr="002C0E13" w:rsidRDefault="00591809">
      <w:pPr>
        <w:pStyle w:val="TOC1"/>
        <w:rPr>
          <w:rFonts w:asciiTheme="minorHAnsi" w:eastAsiaTheme="minorEastAsia" w:hAnsiTheme="minorHAnsi" w:cstheme="minorBidi"/>
          <w:b w:val="0"/>
          <w:color w:val="auto"/>
          <w:sz w:val="20"/>
          <w:szCs w:val="22"/>
        </w:rPr>
      </w:pPr>
      <w:hyperlink w:anchor="_Toc377313568" w:history="1">
        <w:r w:rsidR="002C0E13" w:rsidRPr="002C0E13">
          <w:rPr>
            <w:rStyle w:val="Hyperlink"/>
            <w:sz w:val="20"/>
          </w:rPr>
          <w:t>10.0</w:t>
        </w:r>
        <w:r w:rsidR="002C0E13" w:rsidRPr="002C0E13">
          <w:rPr>
            <w:rFonts w:asciiTheme="minorHAnsi" w:eastAsiaTheme="minorEastAsia" w:hAnsiTheme="minorHAnsi" w:cstheme="minorBidi"/>
            <w:b w:val="0"/>
            <w:color w:val="auto"/>
            <w:sz w:val="20"/>
            <w:szCs w:val="22"/>
          </w:rPr>
          <w:tab/>
        </w:r>
        <w:r w:rsidR="002C0E13" w:rsidRPr="002C0E13">
          <w:rPr>
            <w:rStyle w:val="Hyperlink"/>
            <w:sz w:val="20"/>
          </w:rPr>
          <w:t>Appendix B – Cost Benefit Analysis</w:t>
        </w:r>
        <w:r w:rsidR="002C0E13" w:rsidRPr="002C0E13">
          <w:rPr>
            <w:webHidden/>
            <w:sz w:val="20"/>
          </w:rPr>
          <w:tab/>
        </w:r>
        <w:r w:rsidR="002C0E13" w:rsidRPr="002C0E13">
          <w:rPr>
            <w:webHidden/>
            <w:sz w:val="20"/>
          </w:rPr>
          <w:fldChar w:fldCharType="begin"/>
        </w:r>
        <w:r w:rsidR="002C0E13" w:rsidRPr="002C0E13">
          <w:rPr>
            <w:webHidden/>
            <w:sz w:val="20"/>
          </w:rPr>
          <w:instrText xml:space="preserve"> PAGEREF _Toc377313568 \h </w:instrText>
        </w:r>
        <w:r w:rsidR="002C0E13" w:rsidRPr="002C0E13">
          <w:rPr>
            <w:webHidden/>
            <w:sz w:val="20"/>
          </w:rPr>
        </w:r>
        <w:r w:rsidR="002C0E13" w:rsidRPr="002C0E13">
          <w:rPr>
            <w:webHidden/>
            <w:sz w:val="20"/>
          </w:rPr>
          <w:fldChar w:fldCharType="separate"/>
        </w:r>
        <w:r w:rsidR="002C0E13" w:rsidRPr="002C0E13">
          <w:rPr>
            <w:webHidden/>
            <w:sz w:val="20"/>
          </w:rPr>
          <w:t>41</w:t>
        </w:r>
        <w:r w:rsidR="002C0E13" w:rsidRPr="002C0E13">
          <w:rPr>
            <w:webHidden/>
            <w:sz w:val="20"/>
          </w:rPr>
          <w:fldChar w:fldCharType="end"/>
        </w:r>
      </w:hyperlink>
    </w:p>
    <w:p w14:paraId="72F607CC" w14:textId="77777777" w:rsidR="00B439B8" w:rsidRPr="0045235C" w:rsidRDefault="00814CB7" w:rsidP="00B439B8">
      <w:pPr>
        <w:pStyle w:val="BodyText"/>
      </w:pPr>
      <w:r w:rsidRPr="00263BF7">
        <w:rPr>
          <w:sz w:val="14"/>
        </w:rPr>
        <w:fldChar w:fldCharType="end"/>
      </w:r>
    </w:p>
    <w:p w14:paraId="72F607CD" w14:textId="77777777" w:rsidR="00377E43" w:rsidRDefault="00A14529" w:rsidP="00622D02">
      <w:pPr>
        <w:pStyle w:val="Heading1"/>
      </w:pPr>
      <w:bookmarkStart w:id="1" w:name="_Toc377313524"/>
      <w:r>
        <w:lastRenderedPageBreak/>
        <w:t>Executive Summary</w:t>
      </w:r>
      <w:bookmarkEnd w:id="1"/>
    </w:p>
    <w:p w14:paraId="37084598" w14:textId="7FF7FF4F" w:rsidR="00AE7DA5" w:rsidRDefault="009A55F7" w:rsidP="00263BF7">
      <w:pPr>
        <w:pStyle w:val="BodyText"/>
      </w:pPr>
      <w:r>
        <w:t xml:space="preserve">The State of Vermont’s Department of Information and Innovation (DII) engaged Mathtech, Inc. (Mathtech) to conduct an Independent Review of FAST Enterprise’s (FAST) proposal response dated June 19, 2013 </w:t>
      </w:r>
      <w:r w:rsidR="00D452A9">
        <w:t>to the State’s Request for Proposal (RFP) for an Integrated Tax System (ITS) dated May 6, 2013.  Mathtech interviewed staff and management from DII, Vermont Department of Taxes (VDT)</w:t>
      </w:r>
      <w:r w:rsidR="00EA51B0">
        <w:t xml:space="preserve"> and conducted a conference call with FAST.  The assigned DII Enterprise Project Management Office (EPMO) Project Manager and VDT’s Deputy Commissioner provided additional documents for Math</w:t>
      </w:r>
      <w:r w:rsidR="00331F3E">
        <w:t>t</w:t>
      </w:r>
      <w:r w:rsidR="00EA51B0">
        <w:t>ech review.</w:t>
      </w:r>
    </w:p>
    <w:p w14:paraId="1AD1AB25" w14:textId="77777777" w:rsidR="00894084" w:rsidRDefault="00894084" w:rsidP="00263BF7">
      <w:pPr>
        <w:pStyle w:val="BodyText"/>
      </w:pPr>
      <w:r>
        <w:t>On December 12, 2013, Mathtech participated in a meeting with the following personnel:</w:t>
      </w:r>
    </w:p>
    <w:p w14:paraId="53209C21" w14:textId="77777777" w:rsidR="00894084" w:rsidRDefault="00894084" w:rsidP="008726AF">
      <w:pPr>
        <w:pStyle w:val="ListBullet"/>
      </w:pPr>
      <w:r>
        <w:t>Richard Boes, State of Vermont Chief Information Officer</w:t>
      </w:r>
    </w:p>
    <w:p w14:paraId="4974DE43" w14:textId="0196FDA0" w:rsidR="00894084" w:rsidRDefault="00894084" w:rsidP="008726AF">
      <w:pPr>
        <w:pStyle w:val="ListBullet"/>
      </w:pPr>
      <w:r>
        <w:t>Mary Peterson, Commissioner of the Vermont Department of Taxes</w:t>
      </w:r>
    </w:p>
    <w:p w14:paraId="188C9182" w14:textId="7B9868B9" w:rsidR="00894084" w:rsidRDefault="00894084" w:rsidP="008726AF">
      <w:pPr>
        <w:pStyle w:val="ListBullet"/>
      </w:pPr>
      <w:r>
        <w:t>Gregg Mousley, Deputy Commissioner of the Vermont Department of Taxes</w:t>
      </w:r>
    </w:p>
    <w:p w14:paraId="63B6EC69" w14:textId="0FA23EA0" w:rsidR="00894084" w:rsidRDefault="00894084" w:rsidP="008726AF">
      <w:pPr>
        <w:pStyle w:val="ListBullet"/>
      </w:pPr>
      <w:r>
        <w:t xml:space="preserve">Barbara Cormier, </w:t>
      </w:r>
      <w:r w:rsidR="00EC3FD1">
        <w:t>Enterprise Project Management Office Project Manager</w:t>
      </w:r>
    </w:p>
    <w:p w14:paraId="2873F17D" w14:textId="6BDD27BE" w:rsidR="00894084" w:rsidRDefault="00EC3FD1" w:rsidP="008726AF">
      <w:pPr>
        <w:pStyle w:val="ListBullet"/>
      </w:pPr>
      <w:r>
        <w:t>Michael Morey</w:t>
      </w:r>
      <w:r w:rsidR="003F1CE6">
        <w:t xml:space="preserve">, </w:t>
      </w:r>
      <w:r w:rsidR="00130F25">
        <w:t>State of Vermont Chief Technology Officer</w:t>
      </w:r>
    </w:p>
    <w:p w14:paraId="7788D130" w14:textId="77777777" w:rsidR="00894084" w:rsidRDefault="00894084" w:rsidP="008726AF"/>
    <w:p w14:paraId="50E2A18C" w14:textId="6D60D594" w:rsidR="00894084" w:rsidRDefault="00894084">
      <w:pPr>
        <w:pStyle w:val="BodyText"/>
      </w:pPr>
      <w:r>
        <w:t xml:space="preserve">During this meeting, a draft of this report and associated Cost Benefit Analysis and Risk Management Plan were reviewed.  This document reflects feedback obtained during that meeting.  </w:t>
      </w:r>
    </w:p>
    <w:p w14:paraId="17EC4D06" w14:textId="5F539E1E" w:rsidR="00EA51B0" w:rsidRDefault="00EA51B0" w:rsidP="00980579">
      <w:pPr>
        <w:pStyle w:val="BodyText"/>
      </w:pPr>
      <w:r>
        <w:t xml:space="preserve">Details regarding the scope of effort, deliverables reviewed, and specific tasks executed during the Independent Review can be found in Section 2.0.  </w:t>
      </w:r>
    </w:p>
    <w:p w14:paraId="72F607D1" w14:textId="77777777" w:rsidR="00744CB4" w:rsidRDefault="00A14529" w:rsidP="0008703B">
      <w:pPr>
        <w:pStyle w:val="Heading2"/>
      </w:pPr>
      <w:bookmarkStart w:id="2" w:name="_Toc377313525"/>
      <w:r>
        <w:t>Summary of Findings</w:t>
      </w:r>
      <w:bookmarkEnd w:id="2"/>
    </w:p>
    <w:p w14:paraId="4124ACDC" w14:textId="687CDDC2" w:rsidR="00AE7DA5" w:rsidRDefault="00EA51B0" w:rsidP="00263BF7">
      <w:pPr>
        <w:pStyle w:val="BodyText"/>
      </w:pPr>
      <w:r>
        <w:t xml:space="preserve">Mathtech identified </w:t>
      </w:r>
      <w:r w:rsidR="00F96D98">
        <w:t>thirty-</w:t>
      </w:r>
      <w:r w:rsidR="002C0E13">
        <w:t xml:space="preserve">five </w:t>
      </w:r>
      <w:r w:rsidR="00F96D98">
        <w:t>(</w:t>
      </w:r>
      <w:r w:rsidR="002C0E13">
        <w:t>35</w:t>
      </w:r>
      <w:r w:rsidR="00F96D98">
        <w:t>)</w:t>
      </w:r>
      <w:r>
        <w:t xml:space="preserve"> findings throughout the Independent Review process and </w:t>
      </w:r>
      <w:r w:rsidR="00016846">
        <w:t>forty-two</w:t>
      </w:r>
      <w:r>
        <w:t xml:space="preserve"> </w:t>
      </w:r>
      <w:r w:rsidR="00F96D98">
        <w:t>(</w:t>
      </w:r>
      <w:r w:rsidR="00016846">
        <w:t>42</w:t>
      </w:r>
      <w:r w:rsidR="00F96D98">
        <w:t xml:space="preserve">) </w:t>
      </w:r>
      <w:r>
        <w:t>risks</w:t>
      </w:r>
      <w:r w:rsidR="00F96D98">
        <w:t xml:space="preserve"> of varying severity</w:t>
      </w:r>
      <w:r>
        <w:t xml:space="preserve">.  Some findings map directly to risks identified during the Independent Review process and are noted within this Independent Review Report.  Where applicable, and where deemed </w:t>
      </w:r>
      <w:r w:rsidR="002179F3">
        <w:t>supportive</w:t>
      </w:r>
      <w:r>
        <w:t>, Mathtech has recreated portions of the FAST proposal.  Such recreated portions are clearly defined.</w:t>
      </w:r>
    </w:p>
    <w:p w14:paraId="389E5390" w14:textId="211F77C4" w:rsidR="00A36194" w:rsidRDefault="00A36194" w:rsidP="00263BF7">
      <w:pPr>
        <w:pStyle w:val="BodyText"/>
      </w:pPr>
      <w:r>
        <w:t>The table below outlines Findings by section of this Independent Review Report.</w:t>
      </w:r>
    </w:p>
    <w:p w14:paraId="326328C2" w14:textId="6CD18E10" w:rsidR="00A36194" w:rsidRDefault="00A36194" w:rsidP="000220F0">
      <w:pPr>
        <w:pStyle w:val="Heading4"/>
      </w:pPr>
      <w:r>
        <w:t>Table 1 – Independent Review Findings</w:t>
      </w:r>
    </w:p>
    <w:p w14:paraId="501E298F" w14:textId="77777777" w:rsidR="000220F0" w:rsidRPr="000220F0" w:rsidRDefault="000220F0" w:rsidP="000220F0">
      <w:pPr>
        <w:pStyle w:val="BodyText"/>
      </w:pPr>
    </w:p>
    <w:tbl>
      <w:tblPr>
        <w:tblStyle w:val="TableGrid"/>
        <w:tblW w:w="0" w:type="auto"/>
        <w:tblLook w:val="04A0" w:firstRow="1" w:lastRow="0" w:firstColumn="1" w:lastColumn="0" w:noHBand="0" w:noVBand="1"/>
      </w:tblPr>
      <w:tblGrid>
        <w:gridCol w:w="3618"/>
        <w:gridCol w:w="5411"/>
      </w:tblGrid>
      <w:tr w:rsidR="00A36194" w:rsidRPr="00A36194" w14:paraId="45A27204" w14:textId="77777777" w:rsidTr="00062383">
        <w:trPr>
          <w:cantSplit/>
          <w:trHeight w:val="77"/>
          <w:tblHeader/>
        </w:trPr>
        <w:tc>
          <w:tcPr>
            <w:tcW w:w="3618" w:type="dxa"/>
            <w:shd w:val="clear" w:color="auto" w:fill="BFBFBF" w:themeFill="background1" w:themeFillShade="BF"/>
            <w:vAlign w:val="center"/>
          </w:tcPr>
          <w:p w14:paraId="4A44E3C4" w14:textId="77777777" w:rsidR="00A36194" w:rsidRPr="00A36194" w:rsidRDefault="00A36194" w:rsidP="00A36194">
            <w:pPr>
              <w:pStyle w:val="BodyText"/>
              <w:rPr>
                <w:b/>
                <w:sz w:val="18"/>
                <w:szCs w:val="18"/>
              </w:rPr>
            </w:pPr>
            <w:r w:rsidRPr="00A36194">
              <w:rPr>
                <w:b/>
                <w:sz w:val="18"/>
                <w:szCs w:val="18"/>
              </w:rPr>
              <w:t>Report Section</w:t>
            </w:r>
          </w:p>
        </w:tc>
        <w:tc>
          <w:tcPr>
            <w:tcW w:w="5411" w:type="dxa"/>
            <w:shd w:val="clear" w:color="auto" w:fill="BFBFBF" w:themeFill="background1" w:themeFillShade="BF"/>
            <w:vAlign w:val="center"/>
          </w:tcPr>
          <w:p w14:paraId="4FE2AA0C" w14:textId="1E17D0D6" w:rsidR="00A36194" w:rsidRPr="00A36194" w:rsidRDefault="00A36194" w:rsidP="00A36194">
            <w:pPr>
              <w:pStyle w:val="BodyText"/>
              <w:rPr>
                <w:b/>
                <w:sz w:val="18"/>
                <w:szCs w:val="18"/>
              </w:rPr>
            </w:pPr>
            <w:r w:rsidRPr="00A36194">
              <w:rPr>
                <w:b/>
                <w:sz w:val="18"/>
                <w:szCs w:val="18"/>
              </w:rPr>
              <w:t>Findings</w:t>
            </w:r>
          </w:p>
        </w:tc>
      </w:tr>
      <w:tr w:rsidR="00A36194" w:rsidRPr="00A36194" w14:paraId="09D7272A" w14:textId="77777777" w:rsidTr="00A45D5B">
        <w:trPr>
          <w:cantSplit/>
        </w:trPr>
        <w:tc>
          <w:tcPr>
            <w:tcW w:w="3618" w:type="dxa"/>
          </w:tcPr>
          <w:p w14:paraId="03FCCD43" w14:textId="77777777" w:rsidR="00A36194" w:rsidRPr="00A36194" w:rsidRDefault="00A36194" w:rsidP="00267A1A">
            <w:pPr>
              <w:pStyle w:val="BodyText"/>
              <w:rPr>
                <w:sz w:val="18"/>
                <w:szCs w:val="18"/>
              </w:rPr>
            </w:pPr>
            <w:r w:rsidRPr="00A36194">
              <w:rPr>
                <w:sz w:val="18"/>
                <w:szCs w:val="18"/>
              </w:rPr>
              <w:t>Acquisition Cost</w:t>
            </w:r>
          </w:p>
        </w:tc>
        <w:tc>
          <w:tcPr>
            <w:tcW w:w="5411" w:type="dxa"/>
            <w:vAlign w:val="center"/>
          </w:tcPr>
          <w:p w14:paraId="2828E51C" w14:textId="141DC68E" w:rsidR="00A36194" w:rsidRPr="00F914B6" w:rsidRDefault="00EE2243" w:rsidP="00A36194">
            <w:pPr>
              <w:pStyle w:val="TableBullet"/>
              <w:rPr>
                <w:sz w:val="18"/>
                <w:szCs w:val="18"/>
              </w:rPr>
            </w:pPr>
            <w:r w:rsidRPr="00F914B6">
              <w:rPr>
                <w:sz w:val="18"/>
                <w:szCs w:val="18"/>
              </w:rPr>
              <w:fldChar w:fldCharType="begin"/>
            </w:r>
            <w:r w:rsidRPr="00F914B6">
              <w:rPr>
                <w:sz w:val="18"/>
                <w:szCs w:val="18"/>
              </w:rPr>
              <w:instrText xml:space="preserve"> REF _Ref372516960 \h  \* MERGEFORMAT </w:instrText>
            </w:r>
            <w:r w:rsidRPr="00F914B6">
              <w:rPr>
                <w:sz w:val="18"/>
                <w:szCs w:val="18"/>
              </w:rPr>
            </w:r>
            <w:r w:rsidRPr="00F914B6">
              <w:rPr>
                <w:sz w:val="18"/>
                <w:szCs w:val="18"/>
              </w:rPr>
              <w:fldChar w:fldCharType="separate"/>
            </w:r>
            <w:r w:rsidR="002C0E13" w:rsidRPr="002C0E13">
              <w:rPr>
                <w:sz w:val="18"/>
                <w:szCs w:val="18"/>
              </w:rPr>
              <w:t>Finding 1: FAST projections of VDT staffing levels are low.</w:t>
            </w:r>
            <w:r w:rsidRPr="00F914B6">
              <w:rPr>
                <w:sz w:val="18"/>
                <w:szCs w:val="18"/>
              </w:rPr>
              <w:fldChar w:fldCharType="end"/>
            </w:r>
          </w:p>
          <w:p w14:paraId="5D296D05" w14:textId="47E83CBF"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_Ref372516970 \h  \* MERGEFORMAT </w:instrText>
            </w:r>
            <w:r w:rsidRPr="00F914B6">
              <w:rPr>
                <w:sz w:val="18"/>
                <w:szCs w:val="18"/>
              </w:rPr>
            </w:r>
            <w:r w:rsidRPr="00F914B6">
              <w:rPr>
                <w:sz w:val="18"/>
                <w:szCs w:val="18"/>
              </w:rPr>
              <w:fldChar w:fldCharType="separate"/>
            </w:r>
            <w:r w:rsidR="002C0E13" w:rsidRPr="002C0E13">
              <w:rPr>
                <w:sz w:val="18"/>
                <w:szCs w:val="18"/>
              </w:rPr>
              <w:t>Finding 2:  Project Director Costs are based on an assumption that an internal resource will be hired at the same salary level as other VDT staff members.</w:t>
            </w:r>
            <w:r w:rsidRPr="00F914B6">
              <w:rPr>
                <w:sz w:val="18"/>
                <w:szCs w:val="18"/>
              </w:rPr>
              <w:fldChar w:fldCharType="end"/>
            </w:r>
          </w:p>
          <w:p w14:paraId="2ECDCB6B" w14:textId="50E49B0A"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_Ref372517009 \h  \* MERGEFORMAT </w:instrText>
            </w:r>
            <w:r w:rsidRPr="00F914B6">
              <w:rPr>
                <w:sz w:val="18"/>
                <w:szCs w:val="18"/>
              </w:rPr>
            </w:r>
            <w:r w:rsidRPr="00F914B6">
              <w:rPr>
                <w:sz w:val="18"/>
                <w:szCs w:val="18"/>
              </w:rPr>
              <w:fldChar w:fldCharType="separate"/>
            </w:r>
            <w:r w:rsidR="002C0E13" w:rsidRPr="002C0E13">
              <w:rPr>
                <w:sz w:val="18"/>
                <w:szCs w:val="18"/>
              </w:rPr>
              <w:t>Finding 3: VDT has based Maintenance and Support cost estimates based on FAST’s highest level (Level 3) available.</w:t>
            </w:r>
            <w:r w:rsidRPr="00F914B6">
              <w:rPr>
                <w:sz w:val="18"/>
                <w:szCs w:val="18"/>
              </w:rPr>
              <w:fldChar w:fldCharType="end"/>
            </w:r>
          </w:p>
          <w:p w14:paraId="6E6A582C" w14:textId="6D1CBA87"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_Ref372517012 \h  \* MERGEFORMAT </w:instrText>
            </w:r>
            <w:r w:rsidRPr="00F914B6">
              <w:rPr>
                <w:sz w:val="18"/>
                <w:szCs w:val="18"/>
              </w:rPr>
            </w:r>
            <w:r w:rsidRPr="00F914B6">
              <w:rPr>
                <w:sz w:val="18"/>
                <w:szCs w:val="18"/>
              </w:rPr>
              <w:fldChar w:fldCharType="separate"/>
            </w:r>
            <w:r w:rsidR="002C0E13" w:rsidRPr="002C0E13">
              <w:rPr>
                <w:sz w:val="18"/>
                <w:szCs w:val="18"/>
              </w:rPr>
              <w:t>Finding 4: Additional hardware, software and peripherals are not included in the FAST proposal and not included in the VDT Total Cost of Ownership.</w:t>
            </w:r>
            <w:r w:rsidRPr="00F914B6">
              <w:rPr>
                <w:sz w:val="18"/>
                <w:szCs w:val="18"/>
              </w:rPr>
              <w:fldChar w:fldCharType="end"/>
            </w:r>
          </w:p>
          <w:p w14:paraId="145B3399" w14:textId="022CBC77" w:rsidR="00A36194"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_Ref372517017 \h  \* MERGEFORMAT </w:instrText>
            </w:r>
            <w:r w:rsidRPr="00F914B6">
              <w:rPr>
                <w:sz w:val="18"/>
                <w:szCs w:val="18"/>
              </w:rPr>
            </w:r>
            <w:r w:rsidRPr="00F914B6">
              <w:rPr>
                <w:sz w:val="18"/>
                <w:szCs w:val="18"/>
              </w:rPr>
              <w:fldChar w:fldCharType="separate"/>
            </w:r>
            <w:r w:rsidR="002C0E13" w:rsidRPr="002C0E13">
              <w:rPr>
                <w:sz w:val="18"/>
                <w:szCs w:val="18"/>
              </w:rPr>
              <w:t>Finding 5: FAST rates for future work are equivalent regardless of the role of the resource.</w:t>
            </w:r>
            <w:r w:rsidRPr="00F914B6">
              <w:rPr>
                <w:sz w:val="18"/>
                <w:szCs w:val="18"/>
              </w:rPr>
              <w:fldChar w:fldCharType="end"/>
            </w:r>
            <w:r w:rsidR="00A36194" w:rsidRPr="00F914B6">
              <w:rPr>
                <w:sz w:val="18"/>
                <w:szCs w:val="18"/>
              </w:rPr>
              <w:t xml:space="preserve"> </w:t>
            </w:r>
          </w:p>
        </w:tc>
      </w:tr>
      <w:tr w:rsidR="00A36194" w:rsidRPr="00A36194" w14:paraId="2F75F976" w14:textId="77777777" w:rsidTr="00A45D5B">
        <w:trPr>
          <w:cantSplit/>
          <w:trHeight w:val="350"/>
        </w:trPr>
        <w:tc>
          <w:tcPr>
            <w:tcW w:w="3618" w:type="dxa"/>
            <w:vAlign w:val="center"/>
          </w:tcPr>
          <w:p w14:paraId="1E061AAD" w14:textId="77777777" w:rsidR="00A36194" w:rsidRPr="00A36194" w:rsidRDefault="00A36194" w:rsidP="00A36194">
            <w:pPr>
              <w:pStyle w:val="BodyText"/>
              <w:rPr>
                <w:sz w:val="18"/>
                <w:szCs w:val="18"/>
              </w:rPr>
            </w:pPr>
            <w:r w:rsidRPr="00A36194">
              <w:rPr>
                <w:sz w:val="18"/>
                <w:szCs w:val="18"/>
              </w:rPr>
              <w:t>Technical Architecture</w:t>
            </w:r>
          </w:p>
        </w:tc>
        <w:tc>
          <w:tcPr>
            <w:tcW w:w="5411" w:type="dxa"/>
            <w:vAlign w:val="center"/>
          </w:tcPr>
          <w:p w14:paraId="61A5F541" w14:textId="7DF06EB3"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_Ref372517173 \h  \* MERGEFORMAT </w:instrText>
            </w:r>
            <w:r w:rsidRPr="00F914B6">
              <w:rPr>
                <w:sz w:val="18"/>
                <w:szCs w:val="18"/>
              </w:rPr>
            </w:r>
            <w:r w:rsidRPr="00F914B6">
              <w:rPr>
                <w:sz w:val="18"/>
                <w:szCs w:val="18"/>
              </w:rPr>
              <w:fldChar w:fldCharType="separate"/>
            </w:r>
            <w:r w:rsidR="002C0E13" w:rsidRPr="002C0E13">
              <w:rPr>
                <w:sz w:val="18"/>
                <w:szCs w:val="18"/>
              </w:rPr>
              <w:t>Finding 6: The FAST solution supports the State’s Strategic Enterprise Systems Direction.</w:t>
            </w:r>
            <w:r w:rsidRPr="00F914B6">
              <w:rPr>
                <w:sz w:val="18"/>
                <w:szCs w:val="18"/>
              </w:rPr>
              <w:fldChar w:fldCharType="end"/>
            </w:r>
          </w:p>
          <w:p w14:paraId="4DBF7434" w14:textId="0BD3C94C"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_Ref372517174 \h  \* MERGEFORMAT </w:instrText>
            </w:r>
            <w:r w:rsidRPr="00F914B6">
              <w:rPr>
                <w:sz w:val="18"/>
                <w:szCs w:val="18"/>
              </w:rPr>
            </w:r>
            <w:r w:rsidRPr="00F914B6">
              <w:rPr>
                <w:sz w:val="18"/>
                <w:szCs w:val="18"/>
              </w:rPr>
              <w:fldChar w:fldCharType="separate"/>
            </w:r>
            <w:r w:rsidR="002C0E13" w:rsidRPr="002C0E13">
              <w:rPr>
                <w:sz w:val="18"/>
                <w:szCs w:val="18"/>
              </w:rPr>
              <w:t>Finding 7: FAST has a proven, scalable architecture that can support a high number of end users.</w:t>
            </w:r>
            <w:r w:rsidRPr="00F914B6">
              <w:rPr>
                <w:sz w:val="18"/>
                <w:szCs w:val="18"/>
              </w:rPr>
              <w:fldChar w:fldCharType="end"/>
            </w:r>
          </w:p>
          <w:p w14:paraId="70CB8D0D" w14:textId="253563A5"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_Ref372517177 \h  \* MERGEFORMAT </w:instrText>
            </w:r>
            <w:r w:rsidRPr="00F914B6">
              <w:rPr>
                <w:sz w:val="18"/>
                <w:szCs w:val="18"/>
              </w:rPr>
            </w:r>
            <w:r w:rsidRPr="00F914B6">
              <w:rPr>
                <w:sz w:val="18"/>
                <w:szCs w:val="18"/>
              </w:rPr>
              <w:fldChar w:fldCharType="separate"/>
            </w:r>
            <w:r w:rsidR="002C0E13" w:rsidRPr="002C0E13">
              <w:rPr>
                <w:sz w:val="18"/>
                <w:szCs w:val="18"/>
              </w:rPr>
              <w:t>Finding 8: Over the course of prior implementations, FAST has developed many interfaces that are similar to the interfaces required by VDT.</w:t>
            </w:r>
            <w:r w:rsidRPr="00F914B6">
              <w:rPr>
                <w:sz w:val="18"/>
                <w:szCs w:val="18"/>
              </w:rPr>
              <w:fldChar w:fldCharType="end"/>
            </w:r>
          </w:p>
          <w:p w14:paraId="3260AA3E" w14:textId="063B13A6"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_Ref372517179 \h  \* MERGEFORMAT </w:instrText>
            </w:r>
            <w:r w:rsidRPr="00F914B6">
              <w:rPr>
                <w:sz w:val="18"/>
                <w:szCs w:val="18"/>
              </w:rPr>
            </w:r>
            <w:r w:rsidRPr="00F914B6">
              <w:rPr>
                <w:sz w:val="18"/>
                <w:szCs w:val="18"/>
              </w:rPr>
              <w:fldChar w:fldCharType="separate"/>
            </w:r>
            <w:r w:rsidR="002C0E13" w:rsidRPr="002C0E13">
              <w:rPr>
                <w:sz w:val="18"/>
                <w:szCs w:val="18"/>
              </w:rPr>
              <w:t>Finding 10: FAST’s implementation footprint and current installation base demonstrate the GenTax’s system’s ability to support the business operations of Taxation.</w:t>
            </w:r>
            <w:r w:rsidRPr="00F914B6">
              <w:rPr>
                <w:sz w:val="18"/>
                <w:szCs w:val="18"/>
              </w:rPr>
              <w:fldChar w:fldCharType="end"/>
            </w:r>
          </w:p>
          <w:p w14:paraId="793959BE" w14:textId="236D6D25"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_Ref372517180 \h  \* MERGEFORMAT </w:instrText>
            </w:r>
            <w:r w:rsidRPr="00F914B6">
              <w:rPr>
                <w:sz w:val="18"/>
                <w:szCs w:val="18"/>
              </w:rPr>
            </w:r>
            <w:r w:rsidRPr="00F914B6">
              <w:rPr>
                <w:sz w:val="18"/>
                <w:szCs w:val="18"/>
              </w:rPr>
              <w:fldChar w:fldCharType="separate"/>
            </w:r>
            <w:r w:rsidR="002C0E13" w:rsidRPr="002C0E13">
              <w:rPr>
                <w:sz w:val="18"/>
                <w:szCs w:val="18"/>
              </w:rPr>
              <w:t>Finding 11: FAST will fully comply with all required project policies, guidelines and methodologies.</w:t>
            </w:r>
            <w:r w:rsidRPr="00F914B6">
              <w:rPr>
                <w:sz w:val="18"/>
                <w:szCs w:val="18"/>
              </w:rPr>
              <w:fldChar w:fldCharType="end"/>
            </w:r>
          </w:p>
          <w:p w14:paraId="0D81F144" w14:textId="179853CF" w:rsidR="00EE2243"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_Ref372517181 \h  \* MERGEFORMAT </w:instrText>
            </w:r>
            <w:r w:rsidRPr="00F914B6">
              <w:rPr>
                <w:sz w:val="18"/>
                <w:szCs w:val="18"/>
              </w:rPr>
            </w:r>
            <w:r w:rsidRPr="00F914B6">
              <w:rPr>
                <w:sz w:val="18"/>
                <w:szCs w:val="18"/>
              </w:rPr>
              <w:fldChar w:fldCharType="separate"/>
            </w:r>
            <w:r w:rsidR="002C0E13" w:rsidRPr="002C0E13">
              <w:rPr>
                <w:sz w:val="18"/>
                <w:szCs w:val="18"/>
              </w:rPr>
              <w:t>Finding 12: A detailed backup and recovery plan must be defined by the State.</w:t>
            </w:r>
            <w:r w:rsidRPr="00F914B6">
              <w:rPr>
                <w:sz w:val="18"/>
                <w:szCs w:val="18"/>
              </w:rPr>
              <w:fldChar w:fldCharType="end"/>
            </w:r>
          </w:p>
          <w:p w14:paraId="6B3A1CF6" w14:textId="49D3DC9A" w:rsidR="00A36194" w:rsidRPr="00F914B6" w:rsidRDefault="00EE2243" w:rsidP="008E6483">
            <w:pPr>
              <w:pStyle w:val="TableBullet"/>
              <w:rPr>
                <w:sz w:val="18"/>
                <w:szCs w:val="18"/>
              </w:rPr>
            </w:pPr>
            <w:r w:rsidRPr="00F914B6">
              <w:rPr>
                <w:sz w:val="18"/>
                <w:szCs w:val="18"/>
              </w:rPr>
              <w:fldChar w:fldCharType="begin"/>
            </w:r>
            <w:r w:rsidRPr="00F914B6">
              <w:rPr>
                <w:sz w:val="18"/>
                <w:szCs w:val="18"/>
              </w:rPr>
              <w:instrText xml:space="preserve"> REF _Ref372517183 \h  \* MERGEFORMAT </w:instrText>
            </w:r>
            <w:r w:rsidRPr="00F914B6">
              <w:rPr>
                <w:sz w:val="18"/>
                <w:szCs w:val="18"/>
              </w:rPr>
            </w:r>
            <w:r w:rsidRPr="00F914B6">
              <w:rPr>
                <w:sz w:val="18"/>
                <w:szCs w:val="18"/>
              </w:rPr>
              <w:fldChar w:fldCharType="separate"/>
            </w:r>
            <w:r w:rsidR="002C0E13" w:rsidRPr="002C0E13">
              <w:rPr>
                <w:sz w:val="18"/>
                <w:szCs w:val="18"/>
              </w:rPr>
              <w:t>Finding 13: FAST does not support credit card payment transactions directly.</w:t>
            </w:r>
            <w:r w:rsidRPr="00F914B6">
              <w:rPr>
                <w:sz w:val="18"/>
                <w:szCs w:val="18"/>
              </w:rPr>
              <w:fldChar w:fldCharType="end"/>
            </w:r>
          </w:p>
        </w:tc>
      </w:tr>
      <w:tr w:rsidR="00A45D5B" w:rsidRPr="00A36194" w14:paraId="71341FDB" w14:textId="77777777" w:rsidTr="00A45D5B">
        <w:trPr>
          <w:cantSplit/>
        </w:trPr>
        <w:tc>
          <w:tcPr>
            <w:tcW w:w="3618" w:type="dxa"/>
            <w:vAlign w:val="center"/>
          </w:tcPr>
          <w:p w14:paraId="5BEFF384" w14:textId="77777777" w:rsidR="00A45D5B" w:rsidRPr="00A36194" w:rsidRDefault="00A45D5B" w:rsidP="00A36194">
            <w:pPr>
              <w:pStyle w:val="BodyText"/>
              <w:rPr>
                <w:sz w:val="18"/>
                <w:szCs w:val="18"/>
              </w:rPr>
            </w:pPr>
            <w:r w:rsidRPr="00A36194">
              <w:rPr>
                <w:sz w:val="18"/>
                <w:szCs w:val="18"/>
              </w:rPr>
              <w:t>Assessment of Implementation Plan</w:t>
            </w:r>
          </w:p>
        </w:tc>
        <w:tc>
          <w:tcPr>
            <w:tcW w:w="5411" w:type="dxa"/>
            <w:vAlign w:val="center"/>
          </w:tcPr>
          <w:p w14:paraId="3143E27B" w14:textId="531DEF30"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_Ref372517192 \h  \* MERGEFORMAT </w:instrText>
            </w:r>
            <w:r w:rsidRPr="00F914B6">
              <w:rPr>
                <w:sz w:val="18"/>
                <w:szCs w:val="18"/>
              </w:rPr>
            </w:r>
            <w:r w:rsidRPr="00F914B6">
              <w:rPr>
                <w:sz w:val="18"/>
                <w:szCs w:val="18"/>
              </w:rPr>
              <w:fldChar w:fldCharType="separate"/>
            </w:r>
            <w:r w:rsidR="002C0E13" w:rsidRPr="002C0E13">
              <w:rPr>
                <w:sz w:val="18"/>
                <w:szCs w:val="18"/>
              </w:rPr>
              <w:t>Finding 14: While high-level, the FAST Implementation Plan is realistic and based upon multiple prior implementations.</w:t>
            </w:r>
            <w:r w:rsidRPr="00F914B6">
              <w:rPr>
                <w:sz w:val="18"/>
                <w:szCs w:val="18"/>
              </w:rPr>
              <w:fldChar w:fldCharType="end"/>
            </w:r>
          </w:p>
          <w:p w14:paraId="7FF092EA" w14:textId="3E6DE9AB"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_Ref372517194 \h  \* MERGEFORMAT </w:instrText>
            </w:r>
            <w:r w:rsidRPr="00F914B6">
              <w:rPr>
                <w:sz w:val="18"/>
                <w:szCs w:val="18"/>
              </w:rPr>
            </w:r>
            <w:r w:rsidRPr="00F914B6">
              <w:rPr>
                <w:sz w:val="18"/>
                <w:szCs w:val="18"/>
              </w:rPr>
              <w:fldChar w:fldCharType="separate"/>
            </w:r>
            <w:r w:rsidR="002C0E13" w:rsidRPr="002C0E13">
              <w:rPr>
                <w:sz w:val="18"/>
                <w:szCs w:val="18"/>
              </w:rPr>
              <w:t>Finding 15: VDT staffing for data cleansing and data conversion should be defined.</w:t>
            </w:r>
            <w:r w:rsidRPr="00F914B6">
              <w:rPr>
                <w:sz w:val="18"/>
                <w:szCs w:val="18"/>
              </w:rPr>
              <w:fldChar w:fldCharType="end"/>
            </w:r>
          </w:p>
          <w:p w14:paraId="1BAF5917" w14:textId="19AA07CF"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_Ref372517195 \h  \* MERGEFORMAT </w:instrText>
            </w:r>
            <w:r w:rsidRPr="00F914B6">
              <w:rPr>
                <w:sz w:val="18"/>
                <w:szCs w:val="18"/>
              </w:rPr>
            </w:r>
            <w:r w:rsidRPr="00F914B6">
              <w:rPr>
                <w:sz w:val="18"/>
                <w:szCs w:val="18"/>
              </w:rPr>
              <w:fldChar w:fldCharType="separate"/>
            </w:r>
            <w:r w:rsidR="002C0E13" w:rsidRPr="002C0E13">
              <w:rPr>
                <w:sz w:val="18"/>
                <w:szCs w:val="18"/>
              </w:rPr>
              <w:t>Finding 16: VDT must identify and assign appropriate resources to support interface development and testing.</w:t>
            </w:r>
            <w:r w:rsidRPr="00F914B6">
              <w:rPr>
                <w:sz w:val="18"/>
                <w:szCs w:val="18"/>
              </w:rPr>
              <w:fldChar w:fldCharType="end"/>
            </w:r>
          </w:p>
          <w:p w14:paraId="6D46366B" w14:textId="61CEA9CE"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_Ref372517197 \h  \* MERGEFORMAT </w:instrText>
            </w:r>
            <w:r w:rsidRPr="00F914B6">
              <w:rPr>
                <w:sz w:val="18"/>
                <w:szCs w:val="18"/>
              </w:rPr>
            </w:r>
            <w:r w:rsidRPr="00F914B6">
              <w:rPr>
                <w:sz w:val="18"/>
                <w:szCs w:val="18"/>
              </w:rPr>
              <w:fldChar w:fldCharType="separate"/>
            </w:r>
            <w:r w:rsidR="002C0E13" w:rsidRPr="002C0E13">
              <w:rPr>
                <w:sz w:val="18"/>
                <w:szCs w:val="18"/>
              </w:rPr>
              <w:t>Finding 17: VDT must define plans to ensure adequate support of legacy systems during implementation.</w:t>
            </w:r>
            <w:r w:rsidRPr="00F914B6">
              <w:rPr>
                <w:sz w:val="18"/>
                <w:szCs w:val="18"/>
              </w:rPr>
              <w:fldChar w:fldCharType="end"/>
            </w:r>
          </w:p>
          <w:p w14:paraId="30942E34" w14:textId="505537C0"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_Ref372517199 \h  \* MERGEFORMAT </w:instrText>
            </w:r>
            <w:r w:rsidRPr="00F914B6">
              <w:rPr>
                <w:sz w:val="18"/>
                <w:szCs w:val="18"/>
              </w:rPr>
            </w:r>
            <w:r w:rsidRPr="00F914B6">
              <w:rPr>
                <w:sz w:val="18"/>
                <w:szCs w:val="18"/>
              </w:rPr>
              <w:fldChar w:fldCharType="separate"/>
            </w:r>
            <w:r w:rsidR="002C0E13" w:rsidRPr="002C0E13">
              <w:rPr>
                <w:sz w:val="18"/>
                <w:szCs w:val="18"/>
              </w:rPr>
              <w:t>Finding 18: VDT must own and drive contract management during implementation.</w:t>
            </w:r>
            <w:r w:rsidRPr="00F914B6">
              <w:rPr>
                <w:sz w:val="18"/>
                <w:szCs w:val="18"/>
              </w:rPr>
              <w:fldChar w:fldCharType="end"/>
            </w:r>
          </w:p>
          <w:p w14:paraId="5D883287" w14:textId="2C5C84A8"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_Ref372517200 \h  \* MERGEFORMAT </w:instrText>
            </w:r>
            <w:r w:rsidRPr="00F914B6">
              <w:rPr>
                <w:sz w:val="18"/>
                <w:szCs w:val="18"/>
              </w:rPr>
            </w:r>
            <w:r w:rsidRPr="00F914B6">
              <w:rPr>
                <w:sz w:val="18"/>
                <w:szCs w:val="18"/>
              </w:rPr>
              <w:fldChar w:fldCharType="separate"/>
            </w:r>
            <w:r w:rsidR="002C0E13" w:rsidRPr="002C0E13">
              <w:rPr>
                <w:sz w:val="18"/>
                <w:szCs w:val="18"/>
              </w:rPr>
              <w:t>Finding 19: VDT must define, own and drive a deliverables management plan for implementation.</w:t>
            </w:r>
            <w:r w:rsidRPr="00F914B6">
              <w:rPr>
                <w:sz w:val="18"/>
                <w:szCs w:val="18"/>
              </w:rPr>
              <w:fldChar w:fldCharType="end"/>
            </w:r>
          </w:p>
          <w:p w14:paraId="2C517B43" w14:textId="7459FE9D"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_Ref372517202 \h  \* MERGEFORMAT </w:instrText>
            </w:r>
            <w:r w:rsidRPr="00F914B6">
              <w:rPr>
                <w:sz w:val="18"/>
                <w:szCs w:val="18"/>
              </w:rPr>
            </w:r>
            <w:r w:rsidRPr="00F914B6">
              <w:rPr>
                <w:sz w:val="18"/>
                <w:szCs w:val="18"/>
              </w:rPr>
              <w:fldChar w:fldCharType="separate"/>
            </w:r>
            <w:r w:rsidR="002C0E13" w:rsidRPr="002C0E13">
              <w:rPr>
                <w:sz w:val="18"/>
                <w:szCs w:val="18"/>
              </w:rPr>
              <w:t>Finding 20: VDT resources should be formally assigned to the ITS implementation and backfill activities should commence immediately.</w:t>
            </w:r>
            <w:r w:rsidRPr="00F914B6">
              <w:rPr>
                <w:sz w:val="18"/>
                <w:szCs w:val="18"/>
              </w:rPr>
              <w:fldChar w:fldCharType="end"/>
            </w:r>
          </w:p>
          <w:p w14:paraId="10D43F96" w14:textId="2FD2D780"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_Ref372517206 \h  \* MERGEFORMAT </w:instrText>
            </w:r>
            <w:r w:rsidRPr="00F914B6">
              <w:rPr>
                <w:sz w:val="18"/>
                <w:szCs w:val="18"/>
              </w:rPr>
            </w:r>
            <w:r w:rsidRPr="00F914B6">
              <w:rPr>
                <w:sz w:val="18"/>
                <w:szCs w:val="18"/>
              </w:rPr>
              <w:fldChar w:fldCharType="separate"/>
            </w:r>
            <w:r w:rsidR="002C0E13" w:rsidRPr="002C0E13">
              <w:rPr>
                <w:sz w:val="18"/>
                <w:szCs w:val="18"/>
              </w:rPr>
              <w:t>Finding 21: There is minimal time between one rollout and the next.</w:t>
            </w:r>
            <w:r w:rsidRPr="00F914B6">
              <w:rPr>
                <w:sz w:val="18"/>
                <w:szCs w:val="18"/>
              </w:rPr>
              <w:fldChar w:fldCharType="end"/>
            </w:r>
          </w:p>
          <w:p w14:paraId="18BEB80E" w14:textId="46A20418"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_Ref372517207 \h  \* MERGEFORMAT </w:instrText>
            </w:r>
            <w:r w:rsidRPr="00F914B6">
              <w:rPr>
                <w:sz w:val="18"/>
                <w:szCs w:val="18"/>
              </w:rPr>
            </w:r>
            <w:r w:rsidRPr="00F914B6">
              <w:rPr>
                <w:sz w:val="18"/>
                <w:szCs w:val="18"/>
              </w:rPr>
              <w:fldChar w:fldCharType="separate"/>
            </w:r>
            <w:r w:rsidR="002C0E13" w:rsidRPr="002C0E13">
              <w:rPr>
                <w:sz w:val="18"/>
                <w:szCs w:val="18"/>
              </w:rPr>
              <w:t>Finding 22: GenTax’s reporting approach should meet VDT’s needs.</w:t>
            </w:r>
            <w:r w:rsidRPr="00F914B6">
              <w:rPr>
                <w:sz w:val="18"/>
                <w:szCs w:val="18"/>
              </w:rPr>
              <w:fldChar w:fldCharType="end"/>
            </w:r>
          </w:p>
          <w:p w14:paraId="267D8D2F" w14:textId="6F700AC6" w:rsidR="00EE2243"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_Ref372517209 \h  \* MERGEFORMAT </w:instrText>
            </w:r>
            <w:r w:rsidRPr="00F914B6">
              <w:rPr>
                <w:sz w:val="18"/>
                <w:szCs w:val="18"/>
              </w:rPr>
            </w:r>
            <w:r w:rsidRPr="00F914B6">
              <w:rPr>
                <w:sz w:val="18"/>
                <w:szCs w:val="18"/>
              </w:rPr>
              <w:fldChar w:fldCharType="separate"/>
            </w:r>
            <w:r w:rsidR="002C0E13" w:rsidRPr="002C0E13">
              <w:rPr>
                <w:sz w:val="18"/>
                <w:szCs w:val="18"/>
              </w:rPr>
              <w:t>Finding 23: Test Plans are expected to be completed as part of project implementation.</w:t>
            </w:r>
            <w:r w:rsidRPr="00F914B6">
              <w:rPr>
                <w:sz w:val="18"/>
                <w:szCs w:val="18"/>
              </w:rPr>
              <w:fldChar w:fldCharType="end"/>
            </w:r>
          </w:p>
          <w:p w14:paraId="1F5DEC04" w14:textId="385A3FBF" w:rsidR="00A45D5B" w:rsidRPr="00F914B6" w:rsidRDefault="00EE2243" w:rsidP="00EE2243">
            <w:pPr>
              <w:pStyle w:val="TableBullet"/>
              <w:rPr>
                <w:sz w:val="18"/>
                <w:szCs w:val="18"/>
              </w:rPr>
            </w:pPr>
            <w:r w:rsidRPr="00F914B6">
              <w:rPr>
                <w:sz w:val="18"/>
                <w:szCs w:val="18"/>
              </w:rPr>
              <w:fldChar w:fldCharType="begin"/>
            </w:r>
            <w:r w:rsidRPr="00F914B6">
              <w:rPr>
                <w:sz w:val="18"/>
                <w:szCs w:val="18"/>
              </w:rPr>
              <w:instrText xml:space="preserve"> REF _Ref372517211 \h  \* MERGEFORMAT </w:instrText>
            </w:r>
            <w:r w:rsidRPr="00F914B6">
              <w:rPr>
                <w:sz w:val="18"/>
                <w:szCs w:val="18"/>
              </w:rPr>
            </w:r>
            <w:r w:rsidRPr="00F914B6">
              <w:rPr>
                <w:sz w:val="18"/>
                <w:szCs w:val="18"/>
              </w:rPr>
              <w:fldChar w:fldCharType="separate"/>
            </w:r>
            <w:r w:rsidR="002C0E13" w:rsidRPr="002C0E13">
              <w:rPr>
                <w:sz w:val="18"/>
                <w:szCs w:val="18"/>
              </w:rPr>
              <w:t>Finding 24: Need to ensure continued involvement from VDT resources:</w:t>
            </w:r>
            <w:r w:rsidRPr="00F914B6">
              <w:rPr>
                <w:sz w:val="18"/>
                <w:szCs w:val="18"/>
              </w:rPr>
              <w:fldChar w:fldCharType="end"/>
            </w:r>
          </w:p>
        </w:tc>
      </w:tr>
      <w:tr w:rsidR="00A45D5B" w:rsidRPr="00A36194" w14:paraId="288D365F" w14:textId="77777777" w:rsidTr="00A45D5B">
        <w:trPr>
          <w:cantSplit/>
        </w:trPr>
        <w:tc>
          <w:tcPr>
            <w:tcW w:w="3618" w:type="dxa"/>
            <w:vAlign w:val="center"/>
          </w:tcPr>
          <w:p w14:paraId="77B6FC8E" w14:textId="77777777" w:rsidR="00A45D5B" w:rsidRPr="00A36194" w:rsidRDefault="00A45D5B" w:rsidP="00A36194">
            <w:pPr>
              <w:pStyle w:val="BodyText"/>
              <w:rPr>
                <w:sz w:val="18"/>
                <w:szCs w:val="18"/>
              </w:rPr>
            </w:pPr>
            <w:r w:rsidRPr="00A36194">
              <w:rPr>
                <w:sz w:val="18"/>
                <w:szCs w:val="18"/>
              </w:rPr>
              <w:t>Assessment of Organizational Readiness</w:t>
            </w:r>
          </w:p>
        </w:tc>
        <w:tc>
          <w:tcPr>
            <w:tcW w:w="5411" w:type="dxa"/>
            <w:vAlign w:val="center"/>
          </w:tcPr>
          <w:p w14:paraId="7E36F67C" w14:textId="00FC7470" w:rsidR="00EE2243" w:rsidRPr="002C0E13" w:rsidRDefault="00EE2243" w:rsidP="009A6DD0">
            <w:pPr>
              <w:pStyle w:val="TableBullet"/>
              <w:rPr>
                <w:sz w:val="18"/>
                <w:szCs w:val="18"/>
              </w:rPr>
            </w:pPr>
            <w:r w:rsidRPr="002C0E13">
              <w:rPr>
                <w:sz w:val="18"/>
                <w:szCs w:val="18"/>
              </w:rPr>
              <w:fldChar w:fldCharType="begin"/>
            </w:r>
            <w:r w:rsidRPr="002C0E13">
              <w:rPr>
                <w:sz w:val="18"/>
                <w:szCs w:val="18"/>
              </w:rPr>
              <w:instrText xml:space="preserve"> REF _Ref372517224 \h  \* MERGEFORMAT </w:instrText>
            </w:r>
            <w:r w:rsidRPr="002C0E13">
              <w:rPr>
                <w:sz w:val="18"/>
                <w:szCs w:val="18"/>
              </w:rPr>
            </w:r>
            <w:r w:rsidRPr="002C0E13">
              <w:rPr>
                <w:sz w:val="18"/>
                <w:szCs w:val="18"/>
              </w:rPr>
              <w:fldChar w:fldCharType="separate"/>
            </w:r>
            <w:r w:rsidR="002C0E13" w:rsidRPr="002C0E13">
              <w:rPr>
                <w:sz w:val="18"/>
                <w:szCs w:val="18"/>
              </w:rPr>
              <w:t>Finding 25: The VDT Project Director should have specific qualifications and experience and manage the project to achieve VDT’s needs.</w:t>
            </w:r>
            <w:r w:rsidRPr="002C0E13">
              <w:rPr>
                <w:sz w:val="18"/>
                <w:szCs w:val="18"/>
              </w:rPr>
              <w:fldChar w:fldCharType="end"/>
            </w:r>
          </w:p>
          <w:p w14:paraId="59D4EE34" w14:textId="2DEECB23" w:rsidR="00EE2243" w:rsidRPr="002C0E13" w:rsidRDefault="00EE2243" w:rsidP="009A6DD0">
            <w:pPr>
              <w:pStyle w:val="TableBullet"/>
              <w:rPr>
                <w:sz w:val="18"/>
                <w:szCs w:val="18"/>
              </w:rPr>
            </w:pPr>
            <w:r w:rsidRPr="002C0E13">
              <w:rPr>
                <w:sz w:val="18"/>
                <w:szCs w:val="18"/>
              </w:rPr>
              <w:fldChar w:fldCharType="begin"/>
            </w:r>
            <w:r w:rsidRPr="002C0E13">
              <w:rPr>
                <w:sz w:val="18"/>
                <w:szCs w:val="18"/>
              </w:rPr>
              <w:instrText xml:space="preserve"> REF _Ref372517227 \h  \* MERGEFORMAT </w:instrText>
            </w:r>
            <w:r w:rsidRPr="002C0E13">
              <w:rPr>
                <w:sz w:val="18"/>
                <w:szCs w:val="18"/>
              </w:rPr>
            </w:r>
            <w:r w:rsidRPr="002C0E13">
              <w:rPr>
                <w:sz w:val="18"/>
                <w:szCs w:val="18"/>
              </w:rPr>
              <w:fldChar w:fldCharType="separate"/>
            </w:r>
            <w:r w:rsidR="002C0E13" w:rsidRPr="002C0E13">
              <w:rPr>
                <w:sz w:val="18"/>
                <w:szCs w:val="18"/>
              </w:rPr>
              <w:t>Finding 26: VDT operational staff is eager for the implementation of the ITS.</w:t>
            </w:r>
            <w:r w:rsidRPr="002C0E13">
              <w:rPr>
                <w:sz w:val="18"/>
                <w:szCs w:val="18"/>
              </w:rPr>
              <w:fldChar w:fldCharType="end"/>
            </w:r>
          </w:p>
          <w:p w14:paraId="4203D849" w14:textId="3CF3BB4E" w:rsidR="00A45D5B" w:rsidRPr="00F914B6" w:rsidRDefault="00EE2243" w:rsidP="009A6DD0">
            <w:pPr>
              <w:pStyle w:val="TableBullet"/>
              <w:rPr>
                <w:sz w:val="18"/>
                <w:szCs w:val="18"/>
              </w:rPr>
            </w:pPr>
            <w:r w:rsidRPr="002C0E13">
              <w:rPr>
                <w:sz w:val="18"/>
                <w:szCs w:val="18"/>
              </w:rPr>
              <w:fldChar w:fldCharType="begin"/>
            </w:r>
            <w:r w:rsidRPr="002C0E13">
              <w:rPr>
                <w:sz w:val="18"/>
                <w:szCs w:val="18"/>
              </w:rPr>
              <w:instrText xml:space="preserve"> REF _Ref372517228 \h  \* MERGEFORMAT </w:instrText>
            </w:r>
            <w:r w:rsidRPr="002C0E13">
              <w:rPr>
                <w:sz w:val="18"/>
                <w:szCs w:val="18"/>
              </w:rPr>
            </w:r>
            <w:r w:rsidRPr="002C0E13">
              <w:rPr>
                <w:sz w:val="18"/>
                <w:szCs w:val="18"/>
              </w:rPr>
              <w:fldChar w:fldCharType="separate"/>
            </w:r>
            <w:r w:rsidR="002C0E13" w:rsidRPr="002C0E13">
              <w:rPr>
                <w:sz w:val="18"/>
                <w:szCs w:val="18"/>
              </w:rPr>
              <w:t>Finding 27: Retaining VDT IT resources to continue maintaining existing systems may be difficult.</w:t>
            </w:r>
            <w:r w:rsidRPr="002C0E13">
              <w:rPr>
                <w:sz w:val="18"/>
                <w:szCs w:val="18"/>
              </w:rPr>
              <w:fldChar w:fldCharType="end"/>
            </w:r>
          </w:p>
        </w:tc>
      </w:tr>
      <w:tr w:rsidR="00A45D5B" w:rsidRPr="00A36194" w14:paraId="6EE946F4" w14:textId="77777777" w:rsidTr="00A45D5B">
        <w:trPr>
          <w:cantSplit/>
        </w:trPr>
        <w:tc>
          <w:tcPr>
            <w:tcW w:w="3618" w:type="dxa"/>
            <w:vAlign w:val="center"/>
          </w:tcPr>
          <w:p w14:paraId="4C6BA9C9" w14:textId="77777777" w:rsidR="00A45D5B" w:rsidRPr="00A36194" w:rsidRDefault="00A45D5B" w:rsidP="00A36194">
            <w:pPr>
              <w:pStyle w:val="BodyText"/>
              <w:rPr>
                <w:sz w:val="18"/>
                <w:szCs w:val="18"/>
              </w:rPr>
            </w:pPr>
            <w:r w:rsidRPr="00A36194">
              <w:rPr>
                <w:sz w:val="18"/>
                <w:szCs w:val="18"/>
              </w:rPr>
              <w:t>Cost Benefit Analysis</w:t>
            </w:r>
          </w:p>
        </w:tc>
        <w:tc>
          <w:tcPr>
            <w:tcW w:w="5411" w:type="dxa"/>
            <w:vAlign w:val="center"/>
          </w:tcPr>
          <w:p w14:paraId="5215D063" w14:textId="6D658503" w:rsidR="00EE2243" w:rsidRPr="002C0E13" w:rsidRDefault="00EE2243" w:rsidP="00A45D5B">
            <w:pPr>
              <w:pStyle w:val="TableBullet"/>
              <w:rPr>
                <w:sz w:val="18"/>
                <w:szCs w:val="18"/>
              </w:rPr>
            </w:pPr>
            <w:r w:rsidRPr="002C0E13">
              <w:rPr>
                <w:sz w:val="18"/>
                <w:szCs w:val="18"/>
              </w:rPr>
              <w:fldChar w:fldCharType="begin"/>
            </w:r>
            <w:r w:rsidRPr="002C0E13">
              <w:rPr>
                <w:sz w:val="18"/>
                <w:szCs w:val="18"/>
              </w:rPr>
              <w:instrText xml:space="preserve"> REF _Ref372517236 \h  \* MERGEFORMAT </w:instrText>
            </w:r>
            <w:r w:rsidRPr="002C0E13">
              <w:rPr>
                <w:sz w:val="18"/>
                <w:szCs w:val="18"/>
              </w:rPr>
            </w:r>
            <w:r w:rsidRPr="002C0E13">
              <w:rPr>
                <w:sz w:val="18"/>
                <w:szCs w:val="18"/>
              </w:rPr>
              <w:fldChar w:fldCharType="separate"/>
            </w:r>
            <w:r w:rsidR="002C0E13" w:rsidRPr="002C0E13">
              <w:rPr>
                <w:sz w:val="18"/>
                <w:szCs w:val="18"/>
              </w:rPr>
              <w:t>Finding 28: FAST has completed a single benefits-based implementation of their ITS.</w:t>
            </w:r>
            <w:r w:rsidRPr="002C0E13">
              <w:rPr>
                <w:sz w:val="18"/>
                <w:szCs w:val="18"/>
              </w:rPr>
              <w:fldChar w:fldCharType="end"/>
            </w:r>
          </w:p>
          <w:p w14:paraId="4E20F0CB" w14:textId="6AACB095" w:rsidR="00EE2243" w:rsidRPr="002C0E13" w:rsidRDefault="00EE2243" w:rsidP="00A45D5B">
            <w:pPr>
              <w:pStyle w:val="TableBullet"/>
              <w:rPr>
                <w:sz w:val="18"/>
                <w:szCs w:val="18"/>
              </w:rPr>
            </w:pPr>
            <w:r w:rsidRPr="002C0E13">
              <w:rPr>
                <w:sz w:val="18"/>
                <w:szCs w:val="18"/>
              </w:rPr>
              <w:fldChar w:fldCharType="begin"/>
            </w:r>
            <w:r w:rsidRPr="002C0E13">
              <w:rPr>
                <w:sz w:val="18"/>
                <w:szCs w:val="18"/>
              </w:rPr>
              <w:instrText xml:space="preserve"> REF _Ref372517238 \h  \* MERGEFORMAT </w:instrText>
            </w:r>
            <w:r w:rsidRPr="002C0E13">
              <w:rPr>
                <w:sz w:val="18"/>
                <w:szCs w:val="18"/>
              </w:rPr>
            </w:r>
            <w:r w:rsidRPr="002C0E13">
              <w:rPr>
                <w:sz w:val="18"/>
                <w:szCs w:val="18"/>
              </w:rPr>
              <w:fldChar w:fldCharType="separate"/>
            </w:r>
            <w:r w:rsidR="002C0E13" w:rsidRPr="002C0E13">
              <w:rPr>
                <w:sz w:val="18"/>
                <w:szCs w:val="18"/>
              </w:rPr>
              <w:t>Finding 29: FAST has identified multiple states that attribute benefits to their ITS.</w:t>
            </w:r>
            <w:r w:rsidRPr="002C0E13">
              <w:rPr>
                <w:sz w:val="18"/>
                <w:szCs w:val="18"/>
              </w:rPr>
              <w:fldChar w:fldCharType="end"/>
            </w:r>
          </w:p>
          <w:p w14:paraId="43C7EB8F" w14:textId="45044184" w:rsidR="0040500C" w:rsidRPr="002C0E13" w:rsidRDefault="0040500C" w:rsidP="00A45D5B">
            <w:pPr>
              <w:pStyle w:val="TableBullet"/>
              <w:rPr>
                <w:sz w:val="18"/>
                <w:szCs w:val="18"/>
              </w:rPr>
            </w:pPr>
            <w:r w:rsidRPr="002C0E13">
              <w:rPr>
                <w:sz w:val="18"/>
                <w:szCs w:val="18"/>
              </w:rPr>
              <w:fldChar w:fldCharType="begin"/>
            </w:r>
            <w:r w:rsidRPr="002C0E13">
              <w:rPr>
                <w:sz w:val="18"/>
                <w:szCs w:val="18"/>
              </w:rPr>
              <w:instrText xml:space="preserve"> REF _Ref372525202 \h  \* MERGEFORMAT </w:instrText>
            </w:r>
            <w:r w:rsidRPr="002C0E13">
              <w:rPr>
                <w:sz w:val="18"/>
                <w:szCs w:val="18"/>
              </w:rPr>
            </w:r>
            <w:r w:rsidRPr="002C0E13">
              <w:rPr>
                <w:sz w:val="18"/>
                <w:szCs w:val="18"/>
              </w:rPr>
              <w:fldChar w:fldCharType="separate"/>
            </w:r>
            <w:r w:rsidR="002C0E13" w:rsidRPr="002C0E13">
              <w:rPr>
                <w:sz w:val="18"/>
                <w:szCs w:val="18"/>
              </w:rPr>
              <w:t>Finding 30: FAST plans the definition of implementation benefits within the first phase of the project.</w:t>
            </w:r>
            <w:r w:rsidRPr="002C0E13">
              <w:rPr>
                <w:sz w:val="18"/>
                <w:szCs w:val="18"/>
              </w:rPr>
              <w:fldChar w:fldCharType="end"/>
            </w:r>
          </w:p>
          <w:p w14:paraId="41DAA5D0" w14:textId="70ECD9D3" w:rsidR="00CD0A5C" w:rsidRPr="002C0E13" w:rsidRDefault="00CD0A5C" w:rsidP="00A45D5B">
            <w:pPr>
              <w:pStyle w:val="TableBullet"/>
              <w:rPr>
                <w:sz w:val="18"/>
                <w:szCs w:val="18"/>
              </w:rPr>
            </w:pPr>
            <w:r w:rsidRPr="002C0E13">
              <w:rPr>
                <w:sz w:val="18"/>
                <w:szCs w:val="18"/>
              </w:rPr>
              <w:fldChar w:fldCharType="begin"/>
            </w:r>
            <w:r w:rsidRPr="002C0E13">
              <w:rPr>
                <w:sz w:val="18"/>
                <w:szCs w:val="18"/>
              </w:rPr>
              <w:instrText xml:space="preserve"> REF _Ref372517242 \h  \* MERGEFORMAT </w:instrText>
            </w:r>
            <w:r w:rsidRPr="002C0E13">
              <w:rPr>
                <w:sz w:val="18"/>
                <w:szCs w:val="18"/>
              </w:rPr>
            </w:r>
            <w:r w:rsidRPr="002C0E13">
              <w:rPr>
                <w:sz w:val="18"/>
                <w:szCs w:val="18"/>
              </w:rPr>
              <w:fldChar w:fldCharType="separate"/>
            </w:r>
            <w:r w:rsidR="002C0E13" w:rsidRPr="002C0E13">
              <w:rPr>
                <w:sz w:val="18"/>
                <w:szCs w:val="18"/>
              </w:rPr>
              <w:t>Finding 31: Benefits-based implementation metrics should be defined prior to contract finalization.</w:t>
            </w:r>
            <w:r w:rsidRPr="002C0E13">
              <w:rPr>
                <w:sz w:val="18"/>
                <w:szCs w:val="18"/>
              </w:rPr>
              <w:fldChar w:fldCharType="end"/>
            </w:r>
          </w:p>
          <w:p w14:paraId="3975D1F4" w14:textId="26C0F094" w:rsidR="00CD0A5C" w:rsidRPr="002C0E13" w:rsidRDefault="00CD0A5C" w:rsidP="00A45D5B">
            <w:pPr>
              <w:pStyle w:val="TableBullet"/>
              <w:rPr>
                <w:sz w:val="18"/>
                <w:szCs w:val="18"/>
              </w:rPr>
            </w:pPr>
            <w:r w:rsidRPr="002C0E13">
              <w:rPr>
                <w:sz w:val="18"/>
                <w:szCs w:val="18"/>
              </w:rPr>
              <w:fldChar w:fldCharType="begin"/>
            </w:r>
            <w:r w:rsidRPr="002C0E13">
              <w:rPr>
                <w:sz w:val="18"/>
                <w:szCs w:val="18"/>
              </w:rPr>
              <w:instrText xml:space="preserve"> REF _Ref373916031 \h  \* MERGEFORMAT </w:instrText>
            </w:r>
            <w:r w:rsidRPr="002C0E13">
              <w:rPr>
                <w:sz w:val="18"/>
                <w:szCs w:val="18"/>
              </w:rPr>
            </w:r>
            <w:r w:rsidRPr="002C0E13">
              <w:rPr>
                <w:sz w:val="18"/>
                <w:szCs w:val="18"/>
              </w:rPr>
              <w:fldChar w:fldCharType="separate"/>
            </w:r>
            <w:r w:rsidR="002C0E13" w:rsidRPr="002C0E13">
              <w:rPr>
                <w:sz w:val="18"/>
                <w:szCs w:val="18"/>
              </w:rPr>
              <w:t>Finding 32:  If benefits estimates are achieved, Total Cost of Ownership shows a benefit to VDT after implementation of the ITS.  In addition, VDT will have realized enough benefit revenue by the end of FY19 to pay FAST in full.  According to the payment schedule, VDT will pay FAST completely by the end of FY20.</w:t>
            </w:r>
            <w:r w:rsidRPr="002C0E13">
              <w:rPr>
                <w:sz w:val="18"/>
                <w:szCs w:val="18"/>
              </w:rPr>
              <w:fldChar w:fldCharType="end"/>
            </w:r>
          </w:p>
          <w:p w14:paraId="6C5C526C" w14:textId="15B9E7D5" w:rsidR="00CD0A5C" w:rsidRPr="002C0E13" w:rsidRDefault="00CD0A5C" w:rsidP="00A45D5B">
            <w:pPr>
              <w:pStyle w:val="TableBullet"/>
              <w:rPr>
                <w:sz w:val="18"/>
                <w:szCs w:val="18"/>
              </w:rPr>
            </w:pPr>
            <w:r w:rsidRPr="002C0E13">
              <w:rPr>
                <w:sz w:val="18"/>
                <w:szCs w:val="18"/>
              </w:rPr>
              <w:fldChar w:fldCharType="begin"/>
            </w:r>
            <w:r w:rsidRPr="002C0E13">
              <w:rPr>
                <w:sz w:val="18"/>
                <w:szCs w:val="18"/>
              </w:rPr>
              <w:instrText xml:space="preserve"> REF _Ref373916042 \h  \* MERGEFORMAT </w:instrText>
            </w:r>
            <w:r w:rsidRPr="002C0E13">
              <w:rPr>
                <w:sz w:val="18"/>
                <w:szCs w:val="18"/>
              </w:rPr>
            </w:r>
            <w:r w:rsidRPr="002C0E13">
              <w:rPr>
                <w:sz w:val="18"/>
                <w:szCs w:val="18"/>
              </w:rPr>
              <w:fldChar w:fldCharType="separate"/>
            </w:r>
            <w:r w:rsidR="002C0E13" w:rsidRPr="002C0E13">
              <w:rPr>
                <w:sz w:val="18"/>
                <w:szCs w:val="18"/>
              </w:rPr>
              <w:t>Finding 33:  Benefits from the ITS implementation are anticipated to continue beyond the repayment period for FAST and should be measured as such as they represent a new annual revenue value for VDT going forward.</w:t>
            </w:r>
            <w:r w:rsidRPr="002C0E13">
              <w:rPr>
                <w:sz w:val="18"/>
                <w:szCs w:val="18"/>
              </w:rPr>
              <w:fldChar w:fldCharType="end"/>
            </w:r>
          </w:p>
          <w:p w14:paraId="7979E5BA" w14:textId="42EAD620" w:rsidR="00CD0A5C" w:rsidRPr="002C0E13" w:rsidRDefault="00CD0A5C" w:rsidP="00A45D5B">
            <w:pPr>
              <w:pStyle w:val="TableBullet"/>
              <w:rPr>
                <w:sz w:val="18"/>
                <w:szCs w:val="18"/>
              </w:rPr>
            </w:pPr>
            <w:r w:rsidRPr="002C0E13">
              <w:rPr>
                <w:sz w:val="18"/>
                <w:szCs w:val="18"/>
              </w:rPr>
              <w:fldChar w:fldCharType="begin"/>
            </w:r>
            <w:r w:rsidRPr="002C0E13">
              <w:rPr>
                <w:sz w:val="18"/>
                <w:szCs w:val="18"/>
              </w:rPr>
              <w:instrText xml:space="preserve"> REF _Ref373916086 \h  \* MERGEFORMAT </w:instrText>
            </w:r>
            <w:r w:rsidRPr="002C0E13">
              <w:rPr>
                <w:sz w:val="18"/>
                <w:szCs w:val="18"/>
              </w:rPr>
            </w:r>
            <w:r w:rsidRPr="002C0E13">
              <w:rPr>
                <w:sz w:val="18"/>
                <w:szCs w:val="18"/>
              </w:rPr>
              <w:fldChar w:fldCharType="separate"/>
            </w:r>
            <w:r w:rsidR="002C0E13" w:rsidRPr="002C0E13">
              <w:rPr>
                <w:sz w:val="18"/>
                <w:szCs w:val="18"/>
              </w:rPr>
              <w:t xml:space="preserve">Finding 34:  If benefits estimates are achieved, over the period of FY14-FY23, VT will realize a benefit in excess of $36MM.  Fiscal years 14-19 will incur a net cost to VT while Fiscal Years 20-23 will incur a net benefit, due to the total repayment of FAST Implementation costs by the end of FY20.  </w:t>
            </w:r>
            <w:r w:rsidRPr="002C0E13">
              <w:rPr>
                <w:sz w:val="18"/>
                <w:szCs w:val="18"/>
              </w:rPr>
              <w:fldChar w:fldCharType="end"/>
            </w:r>
          </w:p>
          <w:p w14:paraId="595D649A" w14:textId="231AE144" w:rsidR="00A45D5B" w:rsidRPr="00CD0A5C" w:rsidRDefault="00CD0A5C" w:rsidP="00CD0A5C">
            <w:pPr>
              <w:pStyle w:val="TableBullet"/>
              <w:rPr>
                <w:sz w:val="18"/>
                <w:szCs w:val="18"/>
              </w:rPr>
            </w:pPr>
            <w:r w:rsidRPr="002C0E13">
              <w:rPr>
                <w:sz w:val="18"/>
                <w:szCs w:val="18"/>
              </w:rPr>
              <w:fldChar w:fldCharType="begin"/>
            </w:r>
            <w:r w:rsidRPr="002C0E13">
              <w:rPr>
                <w:sz w:val="18"/>
                <w:szCs w:val="18"/>
              </w:rPr>
              <w:instrText xml:space="preserve"> REF _Ref373916099 \h  \* MERGEFORMAT </w:instrText>
            </w:r>
            <w:r w:rsidRPr="002C0E13">
              <w:rPr>
                <w:sz w:val="18"/>
                <w:szCs w:val="18"/>
              </w:rPr>
            </w:r>
            <w:r w:rsidRPr="002C0E13">
              <w:rPr>
                <w:sz w:val="18"/>
                <w:szCs w:val="18"/>
              </w:rPr>
              <w:fldChar w:fldCharType="separate"/>
            </w:r>
            <w:r w:rsidR="002C0E13" w:rsidRPr="002C0E13">
              <w:rPr>
                <w:sz w:val="18"/>
                <w:szCs w:val="18"/>
              </w:rPr>
              <w:t>Finding 35:  While the benefits anticipated to be realized by VDT upon implementation of the FAST ITS are greater than the cost of implementation, the premium being charged by FAST for the benefits-based model is unknown.</w:t>
            </w:r>
            <w:r w:rsidRPr="002C0E13">
              <w:rPr>
                <w:sz w:val="18"/>
                <w:szCs w:val="18"/>
              </w:rPr>
              <w:fldChar w:fldCharType="end"/>
            </w:r>
            <w:r w:rsidRPr="002C0E13">
              <w:rPr>
                <w:sz w:val="18"/>
                <w:szCs w:val="18"/>
              </w:rPr>
              <w:t xml:space="preserve"> </w:t>
            </w:r>
            <w:r w:rsidR="0040500C">
              <w:rPr>
                <w:sz w:val="18"/>
                <w:szCs w:val="18"/>
              </w:rPr>
              <w:fldChar w:fldCharType="begin"/>
            </w:r>
            <w:r w:rsidR="0040500C">
              <w:rPr>
                <w:sz w:val="18"/>
                <w:szCs w:val="18"/>
              </w:rPr>
              <w:instrText xml:space="preserve"> REF _Ref372517239 \h  \* MERGEFORMAT </w:instrText>
            </w:r>
            <w:r w:rsidR="0040500C">
              <w:rPr>
                <w:sz w:val="18"/>
                <w:szCs w:val="18"/>
              </w:rPr>
            </w:r>
            <w:r w:rsidR="0040500C">
              <w:rPr>
                <w:sz w:val="18"/>
                <w:szCs w:val="18"/>
              </w:rPr>
              <w:fldChar w:fldCharType="end"/>
            </w:r>
          </w:p>
        </w:tc>
      </w:tr>
    </w:tbl>
    <w:p w14:paraId="72F607D2" w14:textId="2A047E34" w:rsidR="00A14529" w:rsidRDefault="00A14529" w:rsidP="00A14529">
      <w:pPr>
        <w:pStyle w:val="Heading2"/>
      </w:pPr>
      <w:bookmarkStart w:id="3" w:name="_Toc377313526"/>
      <w:r>
        <w:t>Summary of Key Risk</w:t>
      </w:r>
      <w:r w:rsidR="00BD769E">
        <w:t>s</w:t>
      </w:r>
      <w:bookmarkEnd w:id="3"/>
    </w:p>
    <w:p w14:paraId="000904F9" w14:textId="23F1FFA8" w:rsidR="00CC1955" w:rsidRDefault="00BD769E" w:rsidP="00263BF7">
      <w:pPr>
        <w:pStyle w:val="BodyText"/>
      </w:pPr>
      <w:r>
        <w:t>Mathtech identified forty-</w:t>
      </w:r>
      <w:r w:rsidR="00016846">
        <w:t xml:space="preserve">two </w:t>
      </w:r>
      <w:r w:rsidR="00F96D98">
        <w:t>(</w:t>
      </w:r>
      <w:r w:rsidR="00016846">
        <w:t>42</w:t>
      </w:r>
      <w:r w:rsidR="00F96D98">
        <w:t xml:space="preserve">) </w:t>
      </w:r>
      <w:r>
        <w:t xml:space="preserve">risks associated with the FAST ITS Implementation, ten </w:t>
      </w:r>
      <w:r w:rsidR="00F96D98">
        <w:t xml:space="preserve">(10) </w:t>
      </w:r>
      <w:r>
        <w:t>of which are considered likely to occur with a high impact:</w:t>
      </w:r>
    </w:p>
    <w:p w14:paraId="6262552C" w14:textId="5F7A9BA4" w:rsidR="00BD769E" w:rsidRDefault="00BD769E" w:rsidP="00263BF7">
      <w:pPr>
        <w:pStyle w:val="BodyText"/>
      </w:pPr>
      <w:r w:rsidRPr="00F96D98">
        <w:rPr>
          <w:b/>
        </w:rPr>
        <w:t>Resources</w:t>
      </w:r>
      <w:r>
        <w:t xml:space="preserve"> – </w:t>
      </w:r>
      <w:r w:rsidR="00F153F4">
        <w:t>M</w:t>
      </w:r>
      <w:r>
        <w:t>any of the highly rated risks are related to resources for the ITS Implementation.  Specifically there is a concern by VDT that IT resources that support legacy applications will leave the department during implementation, causing support of those systems to suffer.</w:t>
      </w:r>
      <w:r w:rsidR="00F96D98">
        <w:t xml:space="preserve">  VDT noted that this risk has already been realized to some degree.  </w:t>
      </w:r>
      <w:r w:rsidR="00F153F4">
        <w:t xml:space="preserve">Additionally, VDT acknowledged that they have a small core number of key operations resources that will need to be part of the implementation and there is a risk that they will be overloaded by the burden of implementation in addition to daily operational activities.  </w:t>
      </w:r>
      <w:r w:rsidR="00F96D98" w:rsidRPr="00F96D98">
        <w:rPr>
          <w:b/>
          <w:i/>
        </w:rPr>
        <w:t xml:space="preserve">(Maps to Risks R1 </w:t>
      </w:r>
      <w:r w:rsidR="0048519F">
        <w:rPr>
          <w:b/>
          <w:i/>
        </w:rPr>
        <w:t>through</w:t>
      </w:r>
      <w:r w:rsidR="0048519F" w:rsidRPr="00F96D98">
        <w:rPr>
          <w:b/>
          <w:i/>
        </w:rPr>
        <w:t xml:space="preserve"> </w:t>
      </w:r>
      <w:r w:rsidR="00F96D98" w:rsidRPr="00F96D98">
        <w:rPr>
          <w:b/>
          <w:i/>
        </w:rPr>
        <w:t>R6)</w:t>
      </w:r>
    </w:p>
    <w:p w14:paraId="4A3F9092" w14:textId="26A86369" w:rsidR="00F153F4" w:rsidRDefault="00F153F4" w:rsidP="00263BF7">
      <w:pPr>
        <w:pStyle w:val="BodyText"/>
      </w:pPr>
      <w:r w:rsidRPr="00F96D98">
        <w:rPr>
          <w:b/>
        </w:rPr>
        <w:t>Timeline and Vermont Control of the Project</w:t>
      </w:r>
      <w:r>
        <w:t xml:space="preserve"> – One risk was identified related to FAST’s focus on timely implementation and the resultant impact to VDT should the timeline start to slip.  FAST acknowledged that if the timeline did slip it would push forward, even without adequate VDT staff involvement.   This poses high risk to VDT as it would relinquish overall control of the implementation to FAST </w:t>
      </w:r>
      <w:r w:rsidR="00F96D98">
        <w:t xml:space="preserve">which </w:t>
      </w:r>
      <w:r>
        <w:t>would result in poor knowledge transfer to VDT causing a greater reliance on FAST support after go-live</w:t>
      </w:r>
      <w:r w:rsidR="00F96D98">
        <w:t xml:space="preserve">; it could also result </w:t>
      </w:r>
      <w:r>
        <w:t xml:space="preserve">in a lower rate of adoption among the user community.  Related to this risk was the identification of a strong Project Director to oversee the entire ITS implementation to ensure </w:t>
      </w:r>
      <w:r w:rsidR="008B7DEB">
        <w:t xml:space="preserve">not just successful technical implementation, but </w:t>
      </w:r>
      <w:r w:rsidR="00F96D98">
        <w:t>also sufficient organizational involvement, adoption and knowledge transfer.</w:t>
      </w:r>
      <w:r w:rsidR="00062383">
        <w:t xml:space="preserve">  </w:t>
      </w:r>
      <w:r w:rsidR="00062383" w:rsidRPr="00062383">
        <w:rPr>
          <w:b/>
          <w:i/>
        </w:rPr>
        <w:t>(Maps to Risk R8, R40)</w:t>
      </w:r>
    </w:p>
    <w:p w14:paraId="0DCDB8E0" w14:textId="24FA8917" w:rsidR="008B7DEB" w:rsidRDefault="008B7DEB" w:rsidP="00263BF7">
      <w:pPr>
        <w:pStyle w:val="BodyText"/>
      </w:pPr>
      <w:r w:rsidRPr="00F96D98">
        <w:rPr>
          <w:b/>
        </w:rPr>
        <w:t>Data Cleansing and Conversion</w:t>
      </w:r>
      <w:r>
        <w:t xml:space="preserve"> – Two risks were identified related the high-level nature of FAST’s estimates of VDT involvement in the project, specifically related to data cleansing and data conversion.  These critical tasks must be properly staffed by VDT personnel because only they will know the true nature of VDT data.  Inadequate estimates for such resources could cause overload when those tasks become more well-defined and resource requirements increase.  </w:t>
      </w:r>
      <w:r w:rsidR="00062383" w:rsidRPr="00062383">
        <w:rPr>
          <w:b/>
          <w:i/>
        </w:rPr>
        <w:t>(Maps to Risks R9, R10)</w:t>
      </w:r>
    </w:p>
    <w:p w14:paraId="72F607D3" w14:textId="77777777" w:rsidR="00A14529" w:rsidRDefault="00A14529" w:rsidP="00A14529">
      <w:pPr>
        <w:pStyle w:val="Heading2"/>
      </w:pPr>
      <w:bookmarkStart w:id="4" w:name="_Toc372436275"/>
      <w:bookmarkStart w:id="5" w:name="_Toc377313527"/>
      <w:bookmarkEnd w:id="4"/>
      <w:r>
        <w:t>Independent Review Recommendations</w:t>
      </w:r>
      <w:bookmarkEnd w:id="5"/>
    </w:p>
    <w:p w14:paraId="335BF32B" w14:textId="77777777" w:rsidR="00062383" w:rsidRDefault="00062383" w:rsidP="00263BF7">
      <w:pPr>
        <w:pStyle w:val="BodyText"/>
      </w:pPr>
      <w:r>
        <w:t>T</w:t>
      </w:r>
      <w:r w:rsidR="008B7DEB">
        <w:t>he implem</w:t>
      </w:r>
      <w:r>
        <w:t xml:space="preserve">entation of the FAST GenTax ITS should be pursued with a few critical steps prior to contract finalization and project commencement.  FAST has a proven track record of success across multiple states and has extensive experience with Taxation operations and technology.  Vermont will be joining a network of states that have implemented the GenTax system, and will able to leverage that network as required for support, knowledge sharing and innovation.  </w:t>
      </w:r>
    </w:p>
    <w:p w14:paraId="5C421802" w14:textId="4ED06213" w:rsidR="00CC1955" w:rsidRDefault="008B7DEB" w:rsidP="00263BF7">
      <w:pPr>
        <w:pStyle w:val="BodyText"/>
      </w:pPr>
      <w:r>
        <w:t xml:space="preserve">There are a few items that require further definition prior to moving forward, but none of those items are insurmountable nor should they stop the progression towards commencement of the ITS Implementation.  </w:t>
      </w:r>
    </w:p>
    <w:p w14:paraId="5E314FCE" w14:textId="31C04817" w:rsidR="008B7DEB" w:rsidRDefault="008B7DEB" w:rsidP="00263BF7">
      <w:pPr>
        <w:pStyle w:val="BodyText"/>
      </w:pPr>
      <w:r>
        <w:t>Mathtech’s recommendations are as follows:</w:t>
      </w:r>
    </w:p>
    <w:p w14:paraId="21CE6F7C" w14:textId="736AC4D5" w:rsidR="008B7DEB" w:rsidRDefault="008B7DEB" w:rsidP="003D35B7">
      <w:pPr>
        <w:pStyle w:val="BodyText"/>
        <w:numPr>
          <w:ilvl w:val="0"/>
          <w:numId w:val="11"/>
        </w:numPr>
      </w:pPr>
      <w:r>
        <w:t>Immediately initiate a search for a Project Director and increase the estimate associated with the cost of that resource to VDT.</w:t>
      </w:r>
    </w:p>
    <w:p w14:paraId="47E6918E" w14:textId="1B92C128" w:rsidR="008B7DEB" w:rsidRDefault="008F360D" w:rsidP="003D35B7">
      <w:pPr>
        <w:pStyle w:val="BodyText"/>
        <w:numPr>
          <w:ilvl w:val="0"/>
          <w:numId w:val="11"/>
        </w:numPr>
      </w:pPr>
      <w:r>
        <w:t xml:space="preserve">Add to the current </w:t>
      </w:r>
      <w:r w:rsidR="008B7DEB">
        <w:t xml:space="preserve">benefits-based model with clearly defined scope, assumptions, metrics, and timeframes for expected benefits prior to contract finalization.  </w:t>
      </w:r>
    </w:p>
    <w:p w14:paraId="501A99A8" w14:textId="5ED3D060" w:rsidR="00062383" w:rsidRDefault="00062383" w:rsidP="00062383">
      <w:pPr>
        <w:pStyle w:val="BodyText"/>
        <w:numPr>
          <w:ilvl w:val="0"/>
          <w:numId w:val="11"/>
        </w:numPr>
      </w:pPr>
      <w:r>
        <w:t xml:space="preserve">Immediately define the implementation project team and begin backfill activities for their daily operational activities.  </w:t>
      </w:r>
    </w:p>
    <w:p w14:paraId="03FF67BE" w14:textId="1C41754F" w:rsidR="00FD43A9" w:rsidRDefault="00FD43A9" w:rsidP="00FD43A9">
      <w:pPr>
        <w:pStyle w:val="BodyText"/>
        <w:numPr>
          <w:ilvl w:val="0"/>
          <w:numId w:val="11"/>
        </w:numPr>
      </w:pPr>
      <w:r>
        <w:t xml:space="preserve">Initiate a Cultural Change Management initiative to address morale within VDT and create messaging related to the ITS implementation.  </w:t>
      </w:r>
    </w:p>
    <w:p w14:paraId="12C05F82" w14:textId="77777777" w:rsidR="00CC1955" w:rsidRPr="00CC1955" w:rsidRDefault="00CC1955" w:rsidP="00263BF7">
      <w:pPr>
        <w:pStyle w:val="BodyText"/>
      </w:pPr>
    </w:p>
    <w:p w14:paraId="72F607D4" w14:textId="77777777" w:rsidR="00A14529" w:rsidRDefault="00A14529" w:rsidP="00A14529">
      <w:pPr>
        <w:pStyle w:val="Heading1"/>
      </w:pPr>
      <w:bookmarkStart w:id="6" w:name="_Toc377313528"/>
      <w:r>
        <w:t>Overview of Document and Background</w:t>
      </w:r>
      <w:bookmarkEnd w:id="6"/>
    </w:p>
    <w:p w14:paraId="72F607D5" w14:textId="77777777" w:rsidR="0006603E" w:rsidRDefault="00A14529" w:rsidP="00A14529">
      <w:pPr>
        <w:pStyle w:val="Heading2"/>
      </w:pPr>
      <w:bookmarkStart w:id="7" w:name="_Toc377313529"/>
      <w:r>
        <w:t>Scope of this Independent Review</w:t>
      </w:r>
      <w:bookmarkEnd w:id="7"/>
    </w:p>
    <w:p w14:paraId="72F607D6" w14:textId="68F27637" w:rsidR="00373BBB" w:rsidRDefault="00410758" w:rsidP="00DD5AFB">
      <w:pPr>
        <w:pStyle w:val="BodyText"/>
      </w:pPr>
      <w:r>
        <w:t>In order to fulfill</w:t>
      </w:r>
      <w:r w:rsidR="00373BBB">
        <w:t xml:space="preserve"> </w:t>
      </w:r>
      <w:r>
        <w:t xml:space="preserve">the requirements stated in </w:t>
      </w:r>
      <w:r w:rsidR="00373BBB" w:rsidRPr="00373BBB">
        <w:t>Vermont Statute, Title 3, Chapter 45,</w:t>
      </w:r>
      <w:r>
        <w:t xml:space="preserve"> </w:t>
      </w:r>
      <w:r w:rsidR="00373BBB" w:rsidRPr="00373BBB">
        <w:t>§2222(g)</w:t>
      </w:r>
      <w:r w:rsidR="00373BBB">
        <w:t xml:space="preserve"> for all acquisitions equal to or exceeding $</w:t>
      </w:r>
      <w:r w:rsidR="00554F81">
        <w:t>1,000</w:t>
      </w:r>
      <w:r w:rsidR="00373BBB">
        <w:t xml:space="preserve">,000, </w:t>
      </w:r>
      <w:r w:rsidR="00B74474">
        <w:t xml:space="preserve">Mathtech has been contracted to </w:t>
      </w:r>
      <w:r>
        <w:t>perform</w:t>
      </w:r>
      <w:r w:rsidR="00373BBB">
        <w:t xml:space="preserve"> an independent review of the selected vendor’s</w:t>
      </w:r>
      <w:r w:rsidR="00B74474">
        <w:t xml:space="preserve"> </w:t>
      </w:r>
      <w:r w:rsidR="00373BBB">
        <w:t>COTS</w:t>
      </w:r>
      <w:r w:rsidR="00C63321">
        <w:t xml:space="preserve"> Integrated</w:t>
      </w:r>
      <w:r w:rsidR="00373BBB">
        <w:t xml:space="preserve"> Tax System</w:t>
      </w:r>
      <w:r w:rsidR="00C63321">
        <w:t xml:space="preserve"> (ITS)</w:t>
      </w:r>
      <w:r w:rsidR="00373BBB">
        <w:t xml:space="preserve"> to replace the Vermont Department of Taxation</w:t>
      </w:r>
      <w:r w:rsidR="00C63321">
        <w:t xml:space="preserve"> (VDT)</w:t>
      </w:r>
      <w:r w:rsidR="00B74474">
        <w:t xml:space="preserve"> existing system</w:t>
      </w:r>
      <w:r w:rsidR="00373BBB">
        <w:t>s</w:t>
      </w:r>
      <w:r w:rsidR="00B74474">
        <w:t>.  This</w:t>
      </w:r>
      <w:r w:rsidR="002C0A83">
        <w:t xml:space="preserve"> independent</w:t>
      </w:r>
      <w:r w:rsidR="00B74474">
        <w:t xml:space="preserve"> review </w:t>
      </w:r>
      <w:r w:rsidR="00373BBB">
        <w:t xml:space="preserve">will consist of </w:t>
      </w:r>
      <w:r>
        <w:t>Mathtech gathering pertinent information to perform the following</w:t>
      </w:r>
      <w:r w:rsidR="00B74474">
        <w:t>:</w:t>
      </w:r>
    </w:p>
    <w:p w14:paraId="72F607D8" w14:textId="77777777" w:rsidR="00CD57B5" w:rsidRPr="00DD5AFB" w:rsidRDefault="00CD57B5" w:rsidP="00DD5AFB">
      <w:pPr>
        <w:pStyle w:val="TableBullet"/>
      </w:pPr>
      <w:r w:rsidRPr="00DD5AFB">
        <w:t>An acquisition cost assessment</w:t>
      </w:r>
    </w:p>
    <w:p w14:paraId="72F607D9" w14:textId="77777777" w:rsidR="00CD57B5" w:rsidRPr="00DD5AFB" w:rsidRDefault="00CD57B5" w:rsidP="00DD5AFB">
      <w:pPr>
        <w:pStyle w:val="TableBullet"/>
      </w:pPr>
      <w:r w:rsidRPr="00DD5AFB">
        <w:t>A technology architecture review</w:t>
      </w:r>
    </w:p>
    <w:p w14:paraId="72F607DA" w14:textId="77777777" w:rsidR="00CD57B5" w:rsidRPr="00DD5AFB" w:rsidRDefault="00CD57B5" w:rsidP="00DD5AFB">
      <w:pPr>
        <w:pStyle w:val="TableBullet"/>
      </w:pPr>
      <w:r w:rsidRPr="00DD5AFB">
        <w:t>An implementation plan assessment</w:t>
      </w:r>
    </w:p>
    <w:p w14:paraId="72F607DB" w14:textId="77777777" w:rsidR="00CD57B5" w:rsidRPr="00DD5AFB" w:rsidRDefault="00CD57B5" w:rsidP="00DD5AFB">
      <w:pPr>
        <w:pStyle w:val="TableBullet"/>
      </w:pPr>
      <w:r w:rsidRPr="00DD5AFB">
        <w:t>A cost analysis and model for benefit analysis</w:t>
      </w:r>
    </w:p>
    <w:p w14:paraId="72F607DC" w14:textId="77777777" w:rsidR="00CD57B5" w:rsidRPr="00DD5AFB" w:rsidRDefault="00CD57B5" w:rsidP="00DD5AFB">
      <w:pPr>
        <w:pStyle w:val="TableBullet"/>
      </w:pPr>
      <w:r w:rsidRPr="00DD5AFB">
        <w:t>An impact analysis on net operating costs for the agency carrying out the activity</w:t>
      </w:r>
    </w:p>
    <w:p w14:paraId="77B3F28C" w14:textId="77777777" w:rsidR="001E49E5" w:rsidRDefault="001E49E5" w:rsidP="00CD57B5">
      <w:pPr>
        <w:pStyle w:val="BodyText"/>
      </w:pPr>
    </w:p>
    <w:p w14:paraId="72F607DE" w14:textId="77777777" w:rsidR="00373BBB" w:rsidRDefault="00373BBB" w:rsidP="00DD5AFB">
      <w:pPr>
        <w:pStyle w:val="BodyText"/>
      </w:pPr>
      <w:r>
        <w:t>In addition, t</w:t>
      </w:r>
      <w:r w:rsidR="00E15D07" w:rsidRPr="00373BBB">
        <w:t>he State’s Independent Review</w:t>
      </w:r>
      <w:r w:rsidR="00C63321">
        <w:t xml:space="preserve"> (IR)</w:t>
      </w:r>
      <w:r w:rsidR="00E15D07" w:rsidRPr="00373BBB">
        <w:t xml:space="preserve"> process includes the development of a Risk Management Plan. This Plan is to include the following:</w:t>
      </w:r>
    </w:p>
    <w:p w14:paraId="72F607E0" w14:textId="77777777" w:rsidR="00E15D07" w:rsidRPr="00373BBB" w:rsidRDefault="00E15D07" w:rsidP="001E49E5">
      <w:pPr>
        <w:pStyle w:val="TableBullet"/>
      </w:pPr>
      <w:r w:rsidRPr="00373BBB">
        <w:t>Identification of risks and issues</w:t>
      </w:r>
    </w:p>
    <w:p w14:paraId="72F607E1" w14:textId="77777777" w:rsidR="00E15D07" w:rsidRPr="00373BBB" w:rsidRDefault="00C63321" w:rsidP="001E49E5">
      <w:pPr>
        <w:pStyle w:val="TableBullet"/>
      </w:pPr>
      <w:r>
        <w:t>Documentation of the independent review v</w:t>
      </w:r>
      <w:r w:rsidR="00E15D07" w:rsidRPr="00373BBB">
        <w:t>endor’s recommended appro</w:t>
      </w:r>
      <w:r w:rsidR="00115051" w:rsidRPr="00373BBB">
        <w:t>ach to each r</w:t>
      </w:r>
      <w:r w:rsidR="00E15D07" w:rsidRPr="00373BBB">
        <w:t>isk and issue</w:t>
      </w:r>
    </w:p>
    <w:p w14:paraId="72F607E2" w14:textId="77777777" w:rsidR="00E15D07" w:rsidRPr="00373BBB" w:rsidRDefault="00E15D07" w:rsidP="001E49E5">
      <w:pPr>
        <w:pStyle w:val="TableBullet"/>
      </w:pPr>
      <w:r w:rsidRPr="00373BBB">
        <w:t>Collaboration with the impacted State agencies to develop a specific plan for addressing</w:t>
      </w:r>
      <w:r w:rsidR="00115051" w:rsidRPr="00373BBB">
        <w:t xml:space="preserve"> e</w:t>
      </w:r>
      <w:r w:rsidRPr="00373BBB">
        <w:t>ach of the identified risks and issues.</w:t>
      </w:r>
    </w:p>
    <w:p w14:paraId="0AEED918" w14:textId="77777777" w:rsidR="001E49E5" w:rsidRDefault="001E49E5" w:rsidP="009167F1">
      <w:pPr>
        <w:widowControl w:val="0"/>
        <w:autoSpaceDE w:val="0"/>
        <w:autoSpaceDN w:val="0"/>
        <w:adjustRightInd w:val="0"/>
      </w:pPr>
    </w:p>
    <w:p w14:paraId="72F607E4" w14:textId="0DB3AC42" w:rsidR="00373BBB" w:rsidRDefault="001E49E5" w:rsidP="00DD5AFB">
      <w:pPr>
        <w:pStyle w:val="BodyText"/>
      </w:pPr>
      <w:r>
        <w:t>I</w:t>
      </w:r>
      <w:r w:rsidR="009167F1" w:rsidRPr="00373BBB">
        <w:t>t is the intent of the State that the following items be addressed through the</w:t>
      </w:r>
      <w:r w:rsidR="00C63321">
        <w:t xml:space="preserve"> Statement of work (</w:t>
      </w:r>
      <w:r w:rsidR="009167F1" w:rsidRPr="00373BBB">
        <w:t>SOW</w:t>
      </w:r>
      <w:r w:rsidR="00C63321">
        <w:t>)</w:t>
      </w:r>
      <w:r w:rsidR="00EA51B0">
        <w:t xml:space="preserve"> for this Independent Review</w:t>
      </w:r>
      <w:r w:rsidR="009167F1" w:rsidRPr="00373BBB">
        <w:t>:</w:t>
      </w:r>
    </w:p>
    <w:p w14:paraId="58A81F43" w14:textId="77777777" w:rsidR="001E49E5" w:rsidRPr="00373BBB" w:rsidRDefault="001E49E5" w:rsidP="001E49E5">
      <w:pPr>
        <w:pStyle w:val="TableBullet"/>
      </w:pPr>
      <w:r w:rsidRPr="00373BBB">
        <w:t>After award, the review vendor (Mathtech) sets up kick-off teleconference or in person</w:t>
      </w:r>
      <w:r>
        <w:t xml:space="preserve"> </w:t>
      </w:r>
      <w:r w:rsidRPr="00373BBB">
        <w:t>meeting within 3 days of award.</w:t>
      </w:r>
    </w:p>
    <w:p w14:paraId="44C42A8B" w14:textId="77777777" w:rsidR="001E49E5" w:rsidRPr="00373BBB" w:rsidRDefault="001E49E5" w:rsidP="001E49E5">
      <w:pPr>
        <w:pStyle w:val="TableBullet"/>
      </w:pPr>
      <w:r w:rsidRPr="00373BBB">
        <w:t>The State EPMO assigns Project Manager to work with Independent Review vendor.</w:t>
      </w:r>
    </w:p>
    <w:p w14:paraId="34A0DF8D" w14:textId="77777777" w:rsidR="001E49E5" w:rsidRPr="00373BBB" w:rsidRDefault="001E49E5" w:rsidP="001E49E5">
      <w:pPr>
        <w:pStyle w:val="TableBullet"/>
      </w:pPr>
      <w:r>
        <w:t>The</w:t>
      </w:r>
      <w:r w:rsidRPr="00373BBB">
        <w:t xml:space="preserve"> review vendor</w:t>
      </w:r>
      <w:r>
        <w:t xml:space="preserve"> will</w:t>
      </w:r>
      <w:r w:rsidRPr="00373BBB">
        <w:t xml:space="preserve"> spends approximately 2 days on-site at the State offices in Vermont collecting information and interviewing stakeholders.</w:t>
      </w:r>
    </w:p>
    <w:p w14:paraId="1AAD01E3" w14:textId="77777777" w:rsidR="001E49E5" w:rsidRPr="00373BBB" w:rsidRDefault="001E49E5" w:rsidP="001E49E5">
      <w:pPr>
        <w:pStyle w:val="TableBullet"/>
      </w:pPr>
      <w:r>
        <w:t>The review vendor</w:t>
      </w:r>
      <w:r w:rsidRPr="00373BBB">
        <w:t xml:space="preserve"> holds a teleconference with the selected vendor.</w:t>
      </w:r>
    </w:p>
    <w:p w14:paraId="7A2E16E3" w14:textId="77777777" w:rsidR="001E49E5" w:rsidRPr="00373BBB" w:rsidRDefault="001E49E5" w:rsidP="001E49E5">
      <w:pPr>
        <w:pStyle w:val="TableBullet"/>
      </w:pPr>
      <w:r w:rsidRPr="00373BBB">
        <w:t>Mathtech will catalog risks that are identified and discuss strategies to mitigate risks identified.</w:t>
      </w:r>
    </w:p>
    <w:p w14:paraId="5530EFDC" w14:textId="77777777" w:rsidR="001E49E5" w:rsidRPr="00373BBB" w:rsidRDefault="001E49E5" w:rsidP="001E49E5">
      <w:pPr>
        <w:pStyle w:val="TableBullet"/>
      </w:pPr>
      <w:r>
        <w:t>The review vendor</w:t>
      </w:r>
      <w:r w:rsidRPr="00373BBB">
        <w:t xml:space="preserve"> conducts other meetings and collects other information as necessary.</w:t>
      </w:r>
    </w:p>
    <w:p w14:paraId="516EAC41" w14:textId="77777777" w:rsidR="001E49E5" w:rsidRPr="00373BBB" w:rsidRDefault="001E49E5" w:rsidP="001E49E5">
      <w:pPr>
        <w:pStyle w:val="TableBullet"/>
      </w:pPr>
      <w:r w:rsidRPr="00373BBB">
        <w:t>Mathtech will incorporate risks and strategies to mitigate risks identified in a Risk Management Plan.</w:t>
      </w:r>
    </w:p>
    <w:p w14:paraId="1DD31195" w14:textId="77777777" w:rsidR="001E49E5" w:rsidRPr="00373BBB" w:rsidRDefault="001E49E5" w:rsidP="001E49E5">
      <w:pPr>
        <w:pStyle w:val="TableBullet"/>
      </w:pPr>
      <w:r>
        <w:t>The review vendor</w:t>
      </w:r>
      <w:r w:rsidRPr="00373BBB">
        <w:t xml:space="preserve"> writes the independent review deliverable according to the Scope of Work, and delivers the draft document to the State E</w:t>
      </w:r>
      <w:r>
        <w:t xml:space="preserve">nterprise </w:t>
      </w:r>
      <w:r w:rsidRPr="00373BBB">
        <w:t>P</w:t>
      </w:r>
      <w:r>
        <w:t xml:space="preserve">rogram </w:t>
      </w:r>
      <w:r w:rsidRPr="00373BBB">
        <w:t>M</w:t>
      </w:r>
      <w:r>
        <w:t xml:space="preserve">anagement </w:t>
      </w:r>
      <w:r w:rsidRPr="00373BBB">
        <w:t>O</w:t>
      </w:r>
      <w:r>
        <w:t>rganization (EPMO)</w:t>
      </w:r>
      <w:r w:rsidRPr="00373BBB">
        <w:t>.</w:t>
      </w:r>
    </w:p>
    <w:p w14:paraId="45563E0C" w14:textId="77777777" w:rsidR="001E49E5" w:rsidRPr="00373BBB" w:rsidRDefault="001E49E5" w:rsidP="001E49E5">
      <w:pPr>
        <w:pStyle w:val="TableBullet"/>
      </w:pPr>
      <w:r>
        <w:t>The review vendor</w:t>
      </w:r>
      <w:r w:rsidRPr="00373BBB">
        <w:t xml:space="preserve"> holds an on-site meeting with the State EPMO Director, Project Manager, DII Deputy Commissioner, Project Sponsors, and </w:t>
      </w:r>
      <w:r>
        <w:t>Chief Information Officer (</w:t>
      </w:r>
      <w:r w:rsidRPr="00373BBB">
        <w:t>CIO</w:t>
      </w:r>
      <w:r>
        <w:t>)</w:t>
      </w:r>
      <w:r w:rsidRPr="00373BBB">
        <w:t xml:space="preserve"> to “close” the review and answer final questions.</w:t>
      </w:r>
    </w:p>
    <w:p w14:paraId="18971FB0" w14:textId="77777777" w:rsidR="001E49E5" w:rsidRPr="00373BBB" w:rsidRDefault="001E49E5" w:rsidP="001E49E5">
      <w:pPr>
        <w:pStyle w:val="TableBullet"/>
      </w:pPr>
      <w:r>
        <w:t>The review vendor</w:t>
      </w:r>
      <w:r w:rsidRPr="00373BBB">
        <w:t xml:space="preserve"> makes final adjustments to the deliverable, and submits the final independent review document(s).</w:t>
      </w:r>
    </w:p>
    <w:p w14:paraId="78A767CB" w14:textId="77777777" w:rsidR="001E49E5" w:rsidRPr="00DD5AFB" w:rsidRDefault="001E49E5" w:rsidP="001E49E5">
      <w:pPr>
        <w:pStyle w:val="TableBullet"/>
      </w:pPr>
      <w:r w:rsidRPr="00DD5AFB">
        <w:t>The review vendor will work with sponsor on the mitigation of the risks and plan that are defined in the Independent Review.</w:t>
      </w:r>
    </w:p>
    <w:p w14:paraId="4945D42D" w14:textId="77777777" w:rsidR="001E49E5" w:rsidRPr="00DD5AFB" w:rsidRDefault="001E49E5" w:rsidP="001E49E5">
      <w:pPr>
        <w:pStyle w:val="TableBullet"/>
      </w:pPr>
      <w:r w:rsidRPr="00DD5AFB">
        <w:t>Project Manager follows up with the State’s risk mitigation plans with CIO and Sponsor to close process on open tasks and gains CIO approval to move forward on project.</w:t>
      </w:r>
    </w:p>
    <w:p w14:paraId="16E99EE3" w14:textId="77777777" w:rsidR="001E49E5" w:rsidRPr="00DD5AFB" w:rsidRDefault="001E49E5" w:rsidP="001E49E5">
      <w:pPr>
        <w:pStyle w:val="TableBullet"/>
      </w:pPr>
      <w:r w:rsidRPr="00DD5AFB">
        <w:t>Contracts &amp; Procurement Specialist will receive the final report from the Sponsor &amp; Vendor on how they answered and managed the risks.</w:t>
      </w:r>
    </w:p>
    <w:p w14:paraId="1B812A75" w14:textId="77777777" w:rsidR="001E49E5" w:rsidRPr="00DD5AFB" w:rsidRDefault="001E49E5" w:rsidP="001E49E5">
      <w:pPr>
        <w:pStyle w:val="TableBullet"/>
      </w:pPr>
      <w:r w:rsidRPr="00DD5AFB">
        <w:t>Project Manager forwards signed CIO acceptance report to Contracts &amp; Procurement Specialist and copies Vendor.</w:t>
      </w:r>
    </w:p>
    <w:p w14:paraId="72F6083A" w14:textId="77777777" w:rsidR="00612F7F" w:rsidRPr="00A06912" w:rsidRDefault="00612F7F" w:rsidP="001E49E5">
      <w:pPr>
        <w:pStyle w:val="Heading2"/>
      </w:pPr>
      <w:bookmarkStart w:id="8" w:name="_Toc377313530"/>
      <w:r>
        <w:t>SOW Requirements and Activities</w:t>
      </w:r>
      <w:bookmarkEnd w:id="8"/>
    </w:p>
    <w:p w14:paraId="72F6083B" w14:textId="77777777" w:rsidR="004B7DBF" w:rsidRDefault="00612F7F" w:rsidP="00FA0C23">
      <w:pPr>
        <w:pStyle w:val="BodyText"/>
      </w:pPr>
      <w:r>
        <w:t xml:space="preserve">In conducting the Independent Review, Mathtech has completed the following activities: </w:t>
      </w:r>
    </w:p>
    <w:p w14:paraId="0BA92868" w14:textId="50DCAA64" w:rsidR="006C44D2" w:rsidRDefault="006C44D2" w:rsidP="00383839">
      <w:pPr>
        <w:pStyle w:val="Heading4"/>
      </w:pPr>
      <w:r>
        <w:t xml:space="preserve">Table </w:t>
      </w:r>
      <w:r w:rsidR="000220F0">
        <w:t>2</w:t>
      </w:r>
      <w:r>
        <w:t xml:space="preserve"> – Independent Review Requirements</w:t>
      </w:r>
    </w:p>
    <w:p w14:paraId="0EB6BFDB" w14:textId="77777777" w:rsidR="006C44D2" w:rsidRPr="006C44D2" w:rsidRDefault="006C44D2" w:rsidP="006C44D2">
      <w:pPr>
        <w:pStyle w:val="BodyText"/>
      </w:pPr>
    </w:p>
    <w:tbl>
      <w:tblPr>
        <w:tblStyle w:val="TableGrid"/>
        <w:tblW w:w="0" w:type="auto"/>
        <w:tblLook w:val="00A0" w:firstRow="1" w:lastRow="0" w:firstColumn="1" w:lastColumn="0" w:noHBand="0" w:noVBand="0"/>
      </w:tblPr>
      <w:tblGrid>
        <w:gridCol w:w="2844"/>
        <w:gridCol w:w="4503"/>
        <w:gridCol w:w="1682"/>
      </w:tblGrid>
      <w:tr w:rsidR="004B7DBF" w:rsidRPr="00383839" w14:paraId="72F60840" w14:textId="77777777" w:rsidTr="00383839">
        <w:trPr>
          <w:cantSplit/>
          <w:tblHeader/>
        </w:trPr>
        <w:tc>
          <w:tcPr>
            <w:tcW w:w="2844" w:type="dxa"/>
            <w:shd w:val="clear" w:color="auto" w:fill="BFBFBF" w:themeFill="background1" w:themeFillShade="BF"/>
            <w:vAlign w:val="bottom"/>
          </w:tcPr>
          <w:p w14:paraId="72F6083D" w14:textId="2FE552E0" w:rsidR="004B7DBF" w:rsidRPr="00383839" w:rsidRDefault="006C44D2" w:rsidP="006C44D2">
            <w:pPr>
              <w:rPr>
                <w:rFonts w:cs="Arial"/>
                <w:b/>
                <w:sz w:val="18"/>
                <w:szCs w:val="18"/>
              </w:rPr>
            </w:pPr>
            <w:r w:rsidRPr="00383839">
              <w:rPr>
                <w:rFonts w:cs="Arial"/>
                <w:b/>
                <w:sz w:val="18"/>
                <w:szCs w:val="18"/>
              </w:rPr>
              <w:t xml:space="preserve">Independent Review </w:t>
            </w:r>
            <w:r w:rsidR="004B7DBF" w:rsidRPr="00383839">
              <w:rPr>
                <w:rFonts w:cs="Arial"/>
                <w:b/>
                <w:sz w:val="18"/>
                <w:szCs w:val="18"/>
              </w:rPr>
              <w:t>Requirements</w:t>
            </w:r>
          </w:p>
        </w:tc>
        <w:tc>
          <w:tcPr>
            <w:tcW w:w="4503" w:type="dxa"/>
            <w:shd w:val="clear" w:color="auto" w:fill="BFBFBF" w:themeFill="background1" w:themeFillShade="BF"/>
            <w:vAlign w:val="bottom"/>
          </w:tcPr>
          <w:p w14:paraId="72F6083E" w14:textId="77777777" w:rsidR="004B7DBF" w:rsidRPr="00383839" w:rsidRDefault="004B7DBF" w:rsidP="006C44D2">
            <w:pPr>
              <w:rPr>
                <w:rFonts w:cs="Arial"/>
                <w:b/>
                <w:sz w:val="18"/>
                <w:szCs w:val="18"/>
              </w:rPr>
            </w:pPr>
            <w:r w:rsidRPr="00383839">
              <w:rPr>
                <w:rFonts w:cs="Arial"/>
                <w:b/>
                <w:sz w:val="18"/>
                <w:szCs w:val="18"/>
              </w:rPr>
              <w:t>Activity Performed</w:t>
            </w:r>
          </w:p>
        </w:tc>
        <w:tc>
          <w:tcPr>
            <w:tcW w:w="1682" w:type="dxa"/>
            <w:shd w:val="clear" w:color="auto" w:fill="BFBFBF" w:themeFill="background1" w:themeFillShade="BF"/>
            <w:vAlign w:val="bottom"/>
          </w:tcPr>
          <w:p w14:paraId="72F6083F" w14:textId="77777777" w:rsidR="004B7DBF" w:rsidRPr="00383839" w:rsidRDefault="004B7DBF" w:rsidP="006C44D2">
            <w:pPr>
              <w:rPr>
                <w:rFonts w:cs="Arial"/>
                <w:b/>
                <w:sz w:val="18"/>
                <w:szCs w:val="18"/>
              </w:rPr>
            </w:pPr>
            <w:r w:rsidRPr="00383839">
              <w:rPr>
                <w:rFonts w:cs="Arial"/>
                <w:b/>
                <w:sz w:val="18"/>
                <w:szCs w:val="18"/>
              </w:rPr>
              <w:t>Date(s) Performed</w:t>
            </w:r>
          </w:p>
        </w:tc>
      </w:tr>
      <w:tr w:rsidR="004B7DBF" w:rsidRPr="00383839" w14:paraId="72F60845" w14:textId="77777777" w:rsidTr="00383839">
        <w:trPr>
          <w:cantSplit/>
        </w:trPr>
        <w:tc>
          <w:tcPr>
            <w:tcW w:w="2844" w:type="dxa"/>
          </w:tcPr>
          <w:p w14:paraId="72F60841"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The State notified Mathtech</w:t>
            </w:r>
          </w:p>
          <w:p w14:paraId="72F60842"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of award of the ITS Independent Review Project.</w:t>
            </w:r>
          </w:p>
        </w:tc>
        <w:tc>
          <w:tcPr>
            <w:tcW w:w="4503" w:type="dxa"/>
          </w:tcPr>
          <w:p w14:paraId="72F60843" w14:textId="77777777" w:rsidR="004B7DBF" w:rsidRPr="00383839" w:rsidRDefault="004B7DBF" w:rsidP="00472E61">
            <w:pPr>
              <w:widowControl w:val="0"/>
              <w:autoSpaceDE w:val="0"/>
              <w:autoSpaceDN w:val="0"/>
              <w:adjustRightInd w:val="0"/>
              <w:rPr>
                <w:rFonts w:cs="Arial"/>
                <w:sz w:val="18"/>
                <w:szCs w:val="18"/>
              </w:rPr>
            </w:pPr>
            <w:r w:rsidRPr="00383839">
              <w:rPr>
                <w:rFonts w:cs="Arial"/>
                <w:sz w:val="18"/>
                <w:szCs w:val="18"/>
              </w:rPr>
              <w:t>Mathtech issued formal document request of</w:t>
            </w:r>
            <w:r w:rsidR="00472E61" w:rsidRPr="00383839">
              <w:rPr>
                <w:rFonts w:cs="Arial"/>
                <w:sz w:val="18"/>
                <w:szCs w:val="18"/>
              </w:rPr>
              <w:t xml:space="preserve"> </w:t>
            </w:r>
            <w:r w:rsidRPr="00383839">
              <w:rPr>
                <w:rFonts w:cs="Arial"/>
                <w:sz w:val="18"/>
                <w:szCs w:val="18"/>
              </w:rPr>
              <w:t>DII EPMO Project Manager, Barbara Cormier</w:t>
            </w:r>
            <w:r w:rsidR="00472E61" w:rsidRPr="00383839">
              <w:rPr>
                <w:rFonts w:cs="Arial"/>
                <w:sz w:val="18"/>
                <w:szCs w:val="18"/>
              </w:rPr>
              <w:t xml:space="preserve"> and Peter Kipp</w:t>
            </w:r>
            <w:r w:rsidRPr="00383839">
              <w:rPr>
                <w:rFonts w:cs="Arial"/>
                <w:sz w:val="18"/>
                <w:szCs w:val="18"/>
              </w:rPr>
              <w:t>.</w:t>
            </w:r>
          </w:p>
        </w:tc>
        <w:tc>
          <w:tcPr>
            <w:tcW w:w="1682" w:type="dxa"/>
          </w:tcPr>
          <w:p w14:paraId="72F60844" w14:textId="038F4E39" w:rsidR="004B7DBF" w:rsidRPr="00383839" w:rsidRDefault="006126B0">
            <w:pPr>
              <w:rPr>
                <w:rFonts w:cs="Arial"/>
                <w:sz w:val="18"/>
                <w:szCs w:val="18"/>
              </w:rPr>
            </w:pPr>
            <w:r w:rsidRPr="00383839">
              <w:rPr>
                <w:rFonts w:cs="Arial"/>
                <w:sz w:val="18"/>
                <w:szCs w:val="18"/>
              </w:rPr>
              <w:t>9/30/13</w:t>
            </w:r>
          </w:p>
        </w:tc>
      </w:tr>
      <w:tr w:rsidR="004B7DBF" w:rsidRPr="00383839" w14:paraId="72F60849" w14:textId="77777777" w:rsidTr="00383839">
        <w:trPr>
          <w:cantSplit/>
        </w:trPr>
        <w:tc>
          <w:tcPr>
            <w:tcW w:w="2844" w:type="dxa"/>
          </w:tcPr>
          <w:p w14:paraId="72F60846"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After award, the review vendor sets up kick-off teleconference or can be in person within 3 days of award.</w:t>
            </w:r>
          </w:p>
        </w:tc>
        <w:tc>
          <w:tcPr>
            <w:tcW w:w="4503" w:type="dxa"/>
          </w:tcPr>
          <w:p w14:paraId="72F60847"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An introductory call with Peter Kipp and Barbara Cormier, to clarify the project timeline and scope of engagement.</w:t>
            </w:r>
          </w:p>
        </w:tc>
        <w:tc>
          <w:tcPr>
            <w:tcW w:w="1682" w:type="dxa"/>
          </w:tcPr>
          <w:p w14:paraId="72F60848" w14:textId="77777777" w:rsidR="004B7DBF" w:rsidRPr="00383839" w:rsidRDefault="00472E61">
            <w:pPr>
              <w:rPr>
                <w:rFonts w:cs="Arial"/>
                <w:sz w:val="18"/>
                <w:szCs w:val="18"/>
              </w:rPr>
            </w:pPr>
            <w:r w:rsidRPr="00383839">
              <w:rPr>
                <w:rFonts w:cs="Arial"/>
                <w:sz w:val="18"/>
                <w:szCs w:val="18"/>
              </w:rPr>
              <w:t>10/1/2013</w:t>
            </w:r>
          </w:p>
        </w:tc>
      </w:tr>
      <w:tr w:rsidR="004B7DBF" w:rsidRPr="00383839" w14:paraId="72F6084D" w14:textId="77777777" w:rsidTr="00383839">
        <w:trPr>
          <w:cantSplit/>
        </w:trPr>
        <w:tc>
          <w:tcPr>
            <w:tcW w:w="2844" w:type="dxa"/>
          </w:tcPr>
          <w:p w14:paraId="72F6084A"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EPMO assigns Project Manager to work with Independent Review vendor.</w:t>
            </w:r>
          </w:p>
        </w:tc>
        <w:tc>
          <w:tcPr>
            <w:tcW w:w="4503" w:type="dxa"/>
          </w:tcPr>
          <w:p w14:paraId="72F6084B"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Mathtech was informed that Barbara Cormier has been assigned to this project to represent the EPMO.</w:t>
            </w:r>
          </w:p>
        </w:tc>
        <w:tc>
          <w:tcPr>
            <w:tcW w:w="1682" w:type="dxa"/>
          </w:tcPr>
          <w:p w14:paraId="72F6084C" w14:textId="2BB89156" w:rsidR="004B7DBF" w:rsidRPr="00383839" w:rsidRDefault="006126B0">
            <w:pPr>
              <w:rPr>
                <w:rFonts w:cs="Arial"/>
                <w:sz w:val="18"/>
                <w:szCs w:val="18"/>
              </w:rPr>
            </w:pPr>
            <w:r w:rsidRPr="00383839">
              <w:rPr>
                <w:rFonts w:cs="Arial"/>
                <w:sz w:val="18"/>
                <w:szCs w:val="18"/>
              </w:rPr>
              <w:t>9/30/13</w:t>
            </w:r>
          </w:p>
        </w:tc>
      </w:tr>
      <w:tr w:rsidR="004B7DBF" w:rsidRPr="00383839" w14:paraId="72F6085B" w14:textId="77777777" w:rsidTr="00383839">
        <w:trPr>
          <w:cantSplit/>
        </w:trPr>
        <w:tc>
          <w:tcPr>
            <w:tcW w:w="2844" w:type="dxa"/>
          </w:tcPr>
          <w:p w14:paraId="72F6084E"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 xml:space="preserve"> After award to review vendor, the reviewer’s staff spends approximately 2 days on-site at the State offices in Vermont collecting information and interviewing stakeholders.</w:t>
            </w:r>
          </w:p>
        </w:tc>
        <w:tc>
          <w:tcPr>
            <w:tcW w:w="4503" w:type="dxa"/>
          </w:tcPr>
          <w:p w14:paraId="72F6084F"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 xml:space="preserve"> The following onsite meetings were held in</w:t>
            </w:r>
          </w:p>
          <w:p w14:paraId="72F60850"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Montpelier:</w:t>
            </w:r>
          </w:p>
          <w:p w14:paraId="72F60851" w14:textId="77777777" w:rsidR="004B7DBF"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Independent Review Expectations</w:t>
            </w:r>
          </w:p>
          <w:p w14:paraId="72F60852"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Compliance Risks</w:t>
            </w:r>
          </w:p>
          <w:p w14:paraId="72F60853"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Taxpayer Service Risks</w:t>
            </w:r>
          </w:p>
          <w:p w14:paraId="72F60854"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Information Systems Risks</w:t>
            </w:r>
          </w:p>
          <w:p w14:paraId="72F60855"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Cost Implications and CMF</w:t>
            </w:r>
          </w:p>
          <w:p w14:paraId="72F60856"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Legal Risks</w:t>
            </w:r>
          </w:p>
          <w:p w14:paraId="72F60857"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Accounting Risks</w:t>
            </w:r>
          </w:p>
          <w:p w14:paraId="72F60858" w14:textId="77777777" w:rsidR="003C7F86"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Enterprise Architecture Risks</w:t>
            </w:r>
          </w:p>
          <w:p w14:paraId="72F60859" w14:textId="77777777" w:rsidR="004B7DBF" w:rsidRPr="00383839" w:rsidRDefault="003C7F86" w:rsidP="003D35B7">
            <w:pPr>
              <w:pStyle w:val="ListParagraph"/>
              <w:widowControl w:val="0"/>
              <w:numPr>
                <w:ilvl w:val="0"/>
                <w:numId w:val="8"/>
              </w:numPr>
              <w:autoSpaceDE w:val="0"/>
              <w:autoSpaceDN w:val="0"/>
              <w:adjustRightInd w:val="0"/>
              <w:rPr>
                <w:rFonts w:cs="Arial"/>
                <w:sz w:val="18"/>
                <w:szCs w:val="18"/>
              </w:rPr>
            </w:pPr>
            <w:r w:rsidRPr="00383839">
              <w:rPr>
                <w:rFonts w:cs="Arial"/>
                <w:sz w:val="18"/>
                <w:szCs w:val="18"/>
              </w:rPr>
              <w:t>Revenue Reporting Risks</w:t>
            </w:r>
          </w:p>
        </w:tc>
        <w:tc>
          <w:tcPr>
            <w:tcW w:w="1682" w:type="dxa"/>
          </w:tcPr>
          <w:p w14:paraId="72F6085A" w14:textId="77777777" w:rsidR="004B7DBF" w:rsidRPr="00383839" w:rsidRDefault="000C7CE6">
            <w:pPr>
              <w:rPr>
                <w:rFonts w:cs="Arial"/>
                <w:sz w:val="18"/>
                <w:szCs w:val="18"/>
              </w:rPr>
            </w:pPr>
            <w:r w:rsidRPr="00383839">
              <w:rPr>
                <w:rFonts w:cs="Arial"/>
                <w:sz w:val="18"/>
                <w:szCs w:val="18"/>
              </w:rPr>
              <w:t>10/10/2013 – 10/11/2013</w:t>
            </w:r>
          </w:p>
        </w:tc>
      </w:tr>
      <w:tr w:rsidR="004B7DBF" w:rsidRPr="00383839" w14:paraId="72F6085F" w14:textId="77777777" w:rsidTr="00383839">
        <w:trPr>
          <w:cantSplit/>
        </w:trPr>
        <w:tc>
          <w:tcPr>
            <w:tcW w:w="2844" w:type="dxa"/>
          </w:tcPr>
          <w:p w14:paraId="72F6085C"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The reviewer holds a teleconference with the selected vendor if needed.</w:t>
            </w:r>
          </w:p>
        </w:tc>
        <w:tc>
          <w:tcPr>
            <w:tcW w:w="4503" w:type="dxa"/>
          </w:tcPr>
          <w:p w14:paraId="72F6085D" w14:textId="77777777" w:rsidR="004B7DBF" w:rsidRPr="00383839" w:rsidRDefault="004B7DBF" w:rsidP="00472E61">
            <w:pPr>
              <w:widowControl w:val="0"/>
              <w:autoSpaceDE w:val="0"/>
              <w:autoSpaceDN w:val="0"/>
              <w:adjustRightInd w:val="0"/>
              <w:rPr>
                <w:rFonts w:cs="Arial"/>
                <w:sz w:val="18"/>
                <w:szCs w:val="18"/>
              </w:rPr>
            </w:pPr>
            <w:r w:rsidRPr="00383839">
              <w:rPr>
                <w:rFonts w:cs="Arial"/>
                <w:sz w:val="18"/>
                <w:szCs w:val="18"/>
              </w:rPr>
              <w:t xml:space="preserve">Mathtech conducted a conference call </w:t>
            </w:r>
            <w:r w:rsidR="00472E61" w:rsidRPr="00383839">
              <w:rPr>
                <w:rFonts w:cs="Arial"/>
                <w:sz w:val="18"/>
                <w:szCs w:val="18"/>
              </w:rPr>
              <w:t>representative from FAST</w:t>
            </w:r>
            <w:r w:rsidRPr="00383839">
              <w:rPr>
                <w:rFonts w:cs="Arial"/>
                <w:sz w:val="18"/>
                <w:szCs w:val="18"/>
              </w:rPr>
              <w:t>.</w:t>
            </w:r>
          </w:p>
        </w:tc>
        <w:tc>
          <w:tcPr>
            <w:tcW w:w="1682" w:type="dxa"/>
          </w:tcPr>
          <w:p w14:paraId="72F6085E" w14:textId="77777777" w:rsidR="004B7DBF" w:rsidRPr="00383839" w:rsidRDefault="00472E61">
            <w:pPr>
              <w:rPr>
                <w:rFonts w:cs="Arial"/>
                <w:sz w:val="18"/>
                <w:szCs w:val="18"/>
              </w:rPr>
            </w:pPr>
            <w:r w:rsidRPr="00383839">
              <w:rPr>
                <w:rFonts w:cs="Arial"/>
                <w:sz w:val="18"/>
                <w:szCs w:val="18"/>
              </w:rPr>
              <w:t>11/4/2013</w:t>
            </w:r>
          </w:p>
        </w:tc>
      </w:tr>
      <w:tr w:rsidR="004B7DBF" w:rsidRPr="00383839" w14:paraId="72F60863" w14:textId="77777777" w:rsidTr="00383839">
        <w:trPr>
          <w:cantSplit/>
        </w:trPr>
        <w:tc>
          <w:tcPr>
            <w:tcW w:w="2844" w:type="dxa"/>
          </w:tcPr>
          <w:p w14:paraId="72F60860"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Mathtech will catalog risks that are identified and discuss strategies to mitigate risks identified.</w:t>
            </w:r>
          </w:p>
        </w:tc>
        <w:tc>
          <w:tcPr>
            <w:tcW w:w="4503" w:type="dxa"/>
          </w:tcPr>
          <w:p w14:paraId="72F60861"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Mathtech cataloged risks in a Risk Matrix and issues in an Issues Log throughout the process of reviewing materials and interviewing key State staff.</w:t>
            </w:r>
          </w:p>
        </w:tc>
        <w:tc>
          <w:tcPr>
            <w:tcW w:w="1682" w:type="dxa"/>
          </w:tcPr>
          <w:p w14:paraId="72F60862" w14:textId="77777777" w:rsidR="004B7DBF" w:rsidRPr="00383839" w:rsidRDefault="00472E61">
            <w:pPr>
              <w:rPr>
                <w:rFonts w:cs="Arial"/>
                <w:sz w:val="18"/>
                <w:szCs w:val="18"/>
              </w:rPr>
            </w:pPr>
            <w:r w:rsidRPr="00383839">
              <w:rPr>
                <w:rFonts w:cs="Arial"/>
                <w:sz w:val="18"/>
                <w:szCs w:val="18"/>
              </w:rPr>
              <w:t>11/11/2013</w:t>
            </w:r>
          </w:p>
        </w:tc>
      </w:tr>
      <w:tr w:rsidR="004B7DBF" w:rsidRPr="00383839" w14:paraId="72F60867" w14:textId="77777777" w:rsidTr="00383839">
        <w:trPr>
          <w:cantSplit/>
        </w:trPr>
        <w:tc>
          <w:tcPr>
            <w:tcW w:w="2844" w:type="dxa"/>
          </w:tcPr>
          <w:p w14:paraId="72F60864"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The reviewer conducts other meetings and collects other information as necessary.</w:t>
            </w:r>
          </w:p>
        </w:tc>
        <w:tc>
          <w:tcPr>
            <w:tcW w:w="4503" w:type="dxa"/>
          </w:tcPr>
          <w:p w14:paraId="72F60865" w14:textId="4F3FD96F" w:rsidR="004B7DBF" w:rsidRPr="00383839" w:rsidRDefault="001C3AB3" w:rsidP="001C3AB3">
            <w:pPr>
              <w:widowControl w:val="0"/>
              <w:autoSpaceDE w:val="0"/>
              <w:autoSpaceDN w:val="0"/>
              <w:adjustRightInd w:val="0"/>
              <w:rPr>
                <w:rFonts w:cs="Arial"/>
                <w:sz w:val="18"/>
                <w:szCs w:val="18"/>
              </w:rPr>
            </w:pPr>
            <w:r w:rsidRPr="00383839">
              <w:rPr>
                <w:rFonts w:cs="Arial"/>
                <w:sz w:val="18"/>
                <w:szCs w:val="18"/>
              </w:rPr>
              <w:t>See Table 3 for a list of all documents reviewed during the Independent Review.</w:t>
            </w:r>
          </w:p>
        </w:tc>
        <w:tc>
          <w:tcPr>
            <w:tcW w:w="1682" w:type="dxa"/>
          </w:tcPr>
          <w:p w14:paraId="72F60866" w14:textId="77777777" w:rsidR="004B7DBF" w:rsidRPr="00383839" w:rsidRDefault="004B7DBF">
            <w:pPr>
              <w:rPr>
                <w:rFonts w:cs="Arial"/>
                <w:sz w:val="18"/>
                <w:szCs w:val="18"/>
              </w:rPr>
            </w:pPr>
          </w:p>
        </w:tc>
      </w:tr>
      <w:tr w:rsidR="004B7DBF" w:rsidRPr="00383839" w14:paraId="72F6086B" w14:textId="77777777" w:rsidTr="00383839">
        <w:trPr>
          <w:cantSplit/>
        </w:trPr>
        <w:tc>
          <w:tcPr>
            <w:tcW w:w="2844" w:type="dxa"/>
          </w:tcPr>
          <w:p w14:paraId="72F60868" w14:textId="1F0F07DB"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Mathtech will incorporate risks and strategies to mitigate risks identified in a Risk Management Plan</w:t>
            </w:r>
          </w:p>
        </w:tc>
        <w:tc>
          <w:tcPr>
            <w:tcW w:w="4503" w:type="dxa"/>
          </w:tcPr>
          <w:p w14:paraId="72F60869"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Mathtech cataloged risks and issues in the Risks &amp; Issues Management Plan, incorporated our recommendations regarding risk and issue responses, and collaborated with State staff to develop an action plan for each risk and issue in the Plan.</w:t>
            </w:r>
          </w:p>
        </w:tc>
        <w:tc>
          <w:tcPr>
            <w:tcW w:w="1682" w:type="dxa"/>
          </w:tcPr>
          <w:p w14:paraId="72F6086A" w14:textId="77777777" w:rsidR="004B7DBF" w:rsidRPr="00383839" w:rsidRDefault="00472E61">
            <w:pPr>
              <w:rPr>
                <w:rFonts w:cs="Arial"/>
                <w:sz w:val="18"/>
                <w:szCs w:val="18"/>
              </w:rPr>
            </w:pPr>
            <w:r w:rsidRPr="00383839">
              <w:rPr>
                <w:rFonts w:cs="Arial"/>
                <w:sz w:val="18"/>
                <w:szCs w:val="18"/>
              </w:rPr>
              <w:t>10/10/2013-10/11/2013</w:t>
            </w:r>
          </w:p>
        </w:tc>
      </w:tr>
      <w:tr w:rsidR="004B7DBF" w:rsidRPr="00383839" w14:paraId="72F6086F" w14:textId="77777777" w:rsidTr="00383839">
        <w:trPr>
          <w:cantSplit/>
        </w:trPr>
        <w:tc>
          <w:tcPr>
            <w:tcW w:w="2844" w:type="dxa"/>
          </w:tcPr>
          <w:p w14:paraId="72F6086C"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The review team writes the independent review deliverable according to the Scope of Work, and delivers the draft document to the State EPMO;</w:t>
            </w:r>
          </w:p>
        </w:tc>
        <w:tc>
          <w:tcPr>
            <w:tcW w:w="4503" w:type="dxa"/>
          </w:tcPr>
          <w:p w14:paraId="72F6086D" w14:textId="14E843AF" w:rsidR="004B7DBF" w:rsidRPr="00383839" w:rsidRDefault="00DA2C37" w:rsidP="001B7851">
            <w:pPr>
              <w:widowControl w:val="0"/>
              <w:autoSpaceDE w:val="0"/>
              <w:autoSpaceDN w:val="0"/>
              <w:adjustRightInd w:val="0"/>
              <w:rPr>
                <w:rFonts w:cs="Arial"/>
                <w:sz w:val="18"/>
                <w:szCs w:val="18"/>
              </w:rPr>
            </w:pPr>
            <w:r>
              <w:rPr>
                <w:rFonts w:cs="Arial"/>
                <w:sz w:val="18"/>
                <w:szCs w:val="18"/>
              </w:rPr>
              <w:t xml:space="preserve">Mathtech submitted the Draft Independent Review </w:t>
            </w:r>
            <w:r w:rsidR="001B7851">
              <w:rPr>
                <w:rFonts w:cs="Arial"/>
                <w:sz w:val="18"/>
                <w:szCs w:val="18"/>
              </w:rPr>
              <w:t>to the Oversight Project Manager.</w:t>
            </w:r>
          </w:p>
        </w:tc>
        <w:tc>
          <w:tcPr>
            <w:tcW w:w="1682" w:type="dxa"/>
          </w:tcPr>
          <w:p w14:paraId="72F6086E" w14:textId="216015C7" w:rsidR="004B7DBF" w:rsidRPr="00383839" w:rsidRDefault="001B7851">
            <w:pPr>
              <w:rPr>
                <w:rFonts w:cs="Arial"/>
                <w:sz w:val="18"/>
                <w:szCs w:val="18"/>
              </w:rPr>
            </w:pPr>
            <w:r>
              <w:rPr>
                <w:rFonts w:cs="Arial"/>
                <w:sz w:val="18"/>
                <w:szCs w:val="18"/>
              </w:rPr>
              <w:t>11/18/13</w:t>
            </w:r>
          </w:p>
        </w:tc>
      </w:tr>
      <w:tr w:rsidR="004B7DBF" w:rsidRPr="00383839" w14:paraId="72F60873" w14:textId="77777777" w:rsidTr="00383839">
        <w:trPr>
          <w:cantSplit/>
        </w:trPr>
        <w:tc>
          <w:tcPr>
            <w:tcW w:w="2844" w:type="dxa"/>
          </w:tcPr>
          <w:p w14:paraId="72F60870" w14:textId="5FDA19EA" w:rsidR="004B7DBF" w:rsidRPr="00383839" w:rsidRDefault="004B7DBF" w:rsidP="00DA2C37">
            <w:pPr>
              <w:widowControl w:val="0"/>
              <w:autoSpaceDE w:val="0"/>
              <w:autoSpaceDN w:val="0"/>
              <w:adjustRightInd w:val="0"/>
              <w:rPr>
                <w:rFonts w:cs="Arial"/>
                <w:sz w:val="18"/>
                <w:szCs w:val="18"/>
              </w:rPr>
            </w:pPr>
            <w:r w:rsidRPr="00383839">
              <w:rPr>
                <w:rFonts w:cs="Arial"/>
                <w:sz w:val="18"/>
                <w:szCs w:val="18"/>
              </w:rPr>
              <w:t xml:space="preserve">The reviewer holds an on-site meeting with the </w:t>
            </w:r>
            <w:r w:rsidR="00973036">
              <w:rPr>
                <w:rFonts w:cs="Arial"/>
                <w:sz w:val="18"/>
                <w:szCs w:val="18"/>
              </w:rPr>
              <w:t xml:space="preserve">CIO, </w:t>
            </w:r>
            <w:r w:rsidR="00DA2C37">
              <w:rPr>
                <w:rFonts w:cs="Arial"/>
                <w:sz w:val="18"/>
                <w:szCs w:val="18"/>
              </w:rPr>
              <w:t>and others at his discretion</w:t>
            </w:r>
            <w:r w:rsidRPr="00383839">
              <w:rPr>
                <w:rFonts w:cs="Arial"/>
                <w:sz w:val="18"/>
                <w:szCs w:val="18"/>
              </w:rPr>
              <w:t xml:space="preserve"> to “close” the review and answer final questions.</w:t>
            </w:r>
          </w:p>
        </w:tc>
        <w:tc>
          <w:tcPr>
            <w:tcW w:w="4503" w:type="dxa"/>
          </w:tcPr>
          <w:p w14:paraId="72F60871" w14:textId="0636AA74" w:rsidR="004B7DBF" w:rsidRPr="00383839" w:rsidRDefault="004B7DBF" w:rsidP="00A071EB">
            <w:pPr>
              <w:widowControl w:val="0"/>
              <w:autoSpaceDE w:val="0"/>
              <w:autoSpaceDN w:val="0"/>
              <w:adjustRightInd w:val="0"/>
              <w:rPr>
                <w:rFonts w:cs="Arial"/>
                <w:sz w:val="18"/>
                <w:szCs w:val="18"/>
              </w:rPr>
            </w:pPr>
            <w:r w:rsidRPr="00383839">
              <w:rPr>
                <w:rFonts w:cs="Arial"/>
                <w:sz w:val="18"/>
                <w:szCs w:val="18"/>
              </w:rPr>
              <w:t>Mathtech conduct</w:t>
            </w:r>
            <w:r w:rsidR="00A071EB">
              <w:rPr>
                <w:rFonts w:cs="Arial"/>
                <w:sz w:val="18"/>
                <w:szCs w:val="18"/>
              </w:rPr>
              <w:t>ed</w:t>
            </w:r>
            <w:r w:rsidRPr="00383839">
              <w:rPr>
                <w:rFonts w:cs="Arial"/>
                <w:sz w:val="18"/>
                <w:szCs w:val="18"/>
              </w:rPr>
              <w:t xml:space="preserve"> this</w:t>
            </w:r>
            <w:r w:rsidR="006126B0" w:rsidRPr="00383839">
              <w:rPr>
                <w:rFonts w:cs="Arial"/>
                <w:sz w:val="18"/>
                <w:szCs w:val="18"/>
              </w:rPr>
              <w:t xml:space="preserve"> review meeting on Thursday </w:t>
            </w:r>
            <w:r w:rsidR="00976DA4">
              <w:rPr>
                <w:rFonts w:cs="Arial"/>
                <w:sz w:val="18"/>
                <w:szCs w:val="18"/>
              </w:rPr>
              <w:t>12/12</w:t>
            </w:r>
            <w:r w:rsidR="006126B0" w:rsidRPr="00383839">
              <w:rPr>
                <w:rFonts w:cs="Arial"/>
                <w:sz w:val="18"/>
                <w:szCs w:val="18"/>
              </w:rPr>
              <w:t>/13.</w:t>
            </w:r>
          </w:p>
        </w:tc>
        <w:tc>
          <w:tcPr>
            <w:tcW w:w="1682" w:type="dxa"/>
          </w:tcPr>
          <w:p w14:paraId="72F60872" w14:textId="2DBC97EB" w:rsidR="004B7DBF" w:rsidRPr="00383839" w:rsidRDefault="00A071EB">
            <w:pPr>
              <w:rPr>
                <w:rFonts w:cs="Arial"/>
                <w:sz w:val="18"/>
                <w:szCs w:val="18"/>
              </w:rPr>
            </w:pPr>
            <w:r>
              <w:rPr>
                <w:rFonts w:cs="Arial"/>
                <w:sz w:val="18"/>
                <w:szCs w:val="18"/>
              </w:rPr>
              <w:t>12/12/13</w:t>
            </w:r>
          </w:p>
        </w:tc>
      </w:tr>
      <w:tr w:rsidR="004B7DBF" w:rsidRPr="00383839" w14:paraId="72F60877" w14:textId="77777777" w:rsidTr="00383839">
        <w:trPr>
          <w:cantSplit/>
        </w:trPr>
        <w:tc>
          <w:tcPr>
            <w:tcW w:w="2844" w:type="dxa"/>
          </w:tcPr>
          <w:p w14:paraId="72F60874" w14:textId="77777777" w:rsidR="004B7DBF" w:rsidRPr="00383839" w:rsidRDefault="004B7DBF" w:rsidP="00197486">
            <w:pPr>
              <w:widowControl w:val="0"/>
              <w:autoSpaceDE w:val="0"/>
              <w:autoSpaceDN w:val="0"/>
              <w:adjustRightInd w:val="0"/>
              <w:rPr>
                <w:rFonts w:cs="Arial"/>
                <w:sz w:val="18"/>
                <w:szCs w:val="18"/>
              </w:rPr>
            </w:pPr>
            <w:r w:rsidRPr="00383839">
              <w:rPr>
                <w:rFonts w:cs="Arial"/>
                <w:sz w:val="18"/>
                <w:szCs w:val="18"/>
              </w:rPr>
              <w:t>The reviewer makes final adjustments to the deliverable, and submits the final independent review document(s).</w:t>
            </w:r>
          </w:p>
        </w:tc>
        <w:tc>
          <w:tcPr>
            <w:tcW w:w="4503" w:type="dxa"/>
          </w:tcPr>
          <w:p w14:paraId="72F60875" w14:textId="1BDC4671" w:rsidR="004B7DBF" w:rsidRPr="00383839" w:rsidRDefault="00A071EB" w:rsidP="00016846">
            <w:pPr>
              <w:widowControl w:val="0"/>
              <w:autoSpaceDE w:val="0"/>
              <w:autoSpaceDN w:val="0"/>
              <w:adjustRightInd w:val="0"/>
              <w:rPr>
                <w:rFonts w:cs="Arial"/>
                <w:sz w:val="18"/>
                <w:szCs w:val="18"/>
              </w:rPr>
            </w:pPr>
            <w:r>
              <w:rPr>
                <w:rFonts w:cs="Arial"/>
                <w:sz w:val="18"/>
                <w:szCs w:val="18"/>
              </w:rPr>
              <w:t xml:space="preserve">Mathtech incorporated edits to the deliverables as identified by VDT and DII during the 12/12/13 review meeting and submitted the </w:t>
            </w:r>
            <w:r w:rsidR="0075432E">
              <w:rPr>
                <w:rFonts w:cs="Arial"/>
                <w:sz w:val="18"/>
                <w:szCs w:val="18"/>
              </w:rPr>
              <w:t xml:space="preserve">Revised Draft Report on </w:t>
            </w:r>
            <w:r w:rsidR="00016846">
              <w:rPr>
                <w:rFonts w:cs="Arial"/>
                <w:sz w:val="18"/>
                <w:szCs w:val="18"/>
              </w:rPr>
              <w:t>1/13/14</w:t>
            </w:r>
          </w:p>
        </w:tc>
        <w:tc>
          <w:tcPr>
            <w:tcW w:w="1682" w:type="dxa"/>
          </w:tcPr>
          <w:p w14:paraId="72F60876" w14:textId="61E3770D" w:rsidR="004B7DBF" w:rsidRPr="00383839" w:rsidRDefault="00016846">
            <w:pPr>
              <w:rPr>
                <w:rFonts w:cs="Arial"/>
                <w:sz w:val="18"/>
                <w:szCs w:val="18"/>
              </w:rPr>
            </w:pPr>
            <w:r>
              <w:rPr>
                <w:rFonts w:cs="Arial"/>
                <w:sz w:val="18"/>
                <w:szCs w:val="18"/>
              </w:rPr>
              <w:t>1/13/14</w:t>
            </w:r>
          </w:p>
        </w:tc>
      </w:tr>
      <w:tr w:rsidR="00DA2C37" w:rsidRPr="00383839" w14:paraId="327E2F20" w14:textId="77777777" w:rsidTr="00383839">
        <w:trPr>
          <w:cantSplit/>
        </w:trPr>
        <w:tc>
          <w:tcPr>
            <w:tcW w:w="2844" w:type="dxa"/>
          </w:tcPr>
          <w:p w14:paraId="59F23EB9" w14:textId="2611013E" w:rsidR="00DA2C37" w:rsidRPr="00383839" w:rsidRDefault="00DA2C37" w:rsidP="00DA2C37">
            <w:pPr>
              <w:widowControl w:val="0"/>
              <w:autoSpaceDE w:val="0"/>
              <w:autoSpaceDN w:val="0"/>
              <w:adjustRightInd w:val="0"/>
              <w:rPr>
                <w:rFonts w:cs="Arial"/>
                <w:sz w:val="18"/>
                <w:szCs w:val="18"/>
              </w:rPr>
            </w:pPr>
            <w:r>
              <w:rPr>
                <w:rFonts w:cs="Arial"/>
                <w:sz w:val="18"/>
                <w:szCs w:val="18"/>
              </w:rPr>
              <w:t>Once the CIO agrees the Report is accepted, Contractor will submit “Final” Report and Deliverables Acceptance Document to OPM.  OPM will accept the Deliverable &amp; notify the Contractor that it is okay to submit an invoice to OPM for payment.</w:t>
            </w:r>
          </w:p>
        </w:tc>
        <w:tc>
          <w:tcPr>
            <w:tcW w:w="4503" w:type="dxa"/>
          </w:tcPr>
          <w:p w14:paraId="3D5D3751" w14:textId="7CC5FE6E" w:rsidR="00DA2C37" w:rsidRPr="00383839" w:rsidRDefault="00331F3E" w:rsidP="00197486">
            <w:pPr>
              <w:widowControl w:val="0"/>
              <w:autoSpaceDE w:val="0"/>
              <w:autoSpaceDN w:val="0"/>
              <w:adjustRightInd w:val="0"/>
              <w:rPr>
                <w:rFonts w:cs="Arial"/>
                <w:sz w:val="18"/>
                <w:szCs w:val="18"/>
              </w:rPr>
            </w:pPr>
            <w:r>
              <w:rPr>
                <w:rFonts w:cs="Arial"/>
                <w:sz w:val="18"/>
                <w:szCs w:val="18"/>
              </w:rPr>
              <w:t>To be completed after notification from Office of the CIO.</w:t>
            </w:r>
          </w:p>
        </w:tc>
        <w:tc>
          <w:tcPr>
            <w:tcW w:w="1682" w:type="dxa"/>
          </w:tcPr>
          <w:p w14:paraId="3C1FFEC9" w14:textId="49BF566C" w:rsidR="00DA2C37" w:rsidRPr="00383839" w:rsidRDefault="00135269">
            <w:pPr>
              <w:rPr>
                <w:rFonts w:cs="Arial"/>
                <w:sz w:val="18"/>
                <w:szCs w:val="18"/>
              </w:rPr>
            </w:pPr>
            <w:r>
              <w:rPr>
                <w:rFonts w:cs="Arial"/>
                <w:sz w:val="18"/>
                <w:szCs w:val="18"/>
              </w:rPr>
              <w:t>1/16/14</w:t>
            </w:r>
          </w:p>
        </w:tc>
      </w:tr>
      <w:tr w:rsidR="004B7DBF" w:rsidRPr="00383839" w14:paraId="72F6088A" w14:textId="77777777" w:rsidTr="00383839">
        <w:trPr>
          <w:cantSplit/>
        </w:trPr>
        <w:tc>
          <w:tcPr>
            <w:tcW w:w="2844" w:type="dxa"/>
          </w:tcPr>
          <w:p w14:paraId="72F60887" w14:textId="1AD5501D" w:rsidR="004B7DBF" w:rsidRPr="00383839" w:rsidRDefault="00DA2C37" w:rsidP="00197486">
            <w:pPr>
              <w:widowControl w:val="0"/>
              <w:autoSpaceDE w:val="0"/>
              <w:autoSpaceDN w:val="0"/>
              <w:adjustRightInd w:val="0"/>
              <w:rPr>
                <w:rFonts w:cs="Arial"/>
                <w:sz w:val="18"/>
                <w:szCs w:val="18"/>
              </w:rPr>
            </w:pPr>
            <w:r>
              <w:rPr>
                <w:rFonts w:cs="Arial"/>
                <w:sz w:val="18"/>
                <w:szCs w:val="18"/>
              </w:rPr>
              <w:t xml:space="preserve">Oversight </w:t>
            </w:r>
            <w:r w:rsidR="004B7DBF" w:rsidRPr="00383839">
              <w:rPr>
                <w:rFonts w:cs="Arial"/>
                <w:sz w:val="18"/>
                <w:szCs w:val="18"/>
              </w:rPr>
              <w:t>Project Manager forwards signed CIO acceptance report to Contracts &amp; Procurement Specialist and copies Vendor.</w:t>
            </w:r>
          </w:p>
        </w:tc>
        <w:tc>
          <w:tcPr>
            <w:tcW w:w="4503" w:type="dxa"/>
          </w:tcPr>
          <w:p w14:paraId="72F60888" w14:textId="52BEC7C8" w:rsidR="004B7DBF" w:rsidRPr="00383839" w:rsidRDefault="00331F3E" w:rsidP="00197486">
            <w:pPr>
              <w:widowControl w:val="0"/>
              <w:autoSpaceDE w:val="0"/>
              <w:autoSpaceDN w:val="0"/>
              <w:adjustRightInd w:val="0"/>
              <w:rPr>
                <w:rFonts w:cs="Arial"/>
                <w:sz w:val="18"/>
                <w:szCs w:val="18"/>
              </w:rPr>
            </w:pPr>
            <w:r>
              <w:rPr>
                <w:rFonts w:cs="Arial"/>
                <w:sz w:val="18"/>
                <w:szCs w:val="18"/>
              </w:rPr>
              <w:t>To be completed after formal deliverable acceptance.</w:t>
            </w:r>
          </w:p>
        </w:tc>
        <w:tc>
          <w:tcPr>
            <w:tcW w:w="1682" w:type="dxa"/>
          </w:tcPr>
          <w:p w14:paraId="72F60889" w14:textId="77777777" w:rsidR="004B7DBF" w:rsidRPr="00383839" w:rsidRDefault="004B7DBF">
            <w:pPr>
              <w:rPr>
                <w:rFonts w:cs="Arial"/>
                <w:sz w:val="18"/>
                <w:szCs w:val="18"/>
              </w:rPr>
            </w:pPr>
          </w:p>
        </w:tc>
      </w:tr>
    </w:tbl>
    <w:p w14:paraId="72F6088B" w14:textId="77777777" w:rsidR="00612F7F" w:rsidRDefault="00612F7F" w:rsidP="00FA0C23">
      <w:pPr>
        <w:pStyle w:val="BodyText"/>
      </w:pPr>
    </w:p>
    <w:p w14:paraId="21D4F219" w14:textId="77777777" w:rsidR="001C3AB3" w:rsidRDefault="001C3AB3">
      <w:r>
        <w:br w:type="page"/>
      </w:r>
    </w:p>
    <w:p w14:paraId="72F6088C" w14:textId="6BCF4BD6" w:rsidR="00DB5441" w:rsidRDefault="006C44D2" w:rsidP="00DB5441">
      <w:pPr>
        <w:widowControl w:val="0"/>
        <w:autoSpaceDE w:val="0"/>
        <w:autoSpaceDN w:val="0"/>
        <w:adjustRightInd w:val="0"/>
      </w:pPr>
      <w:r>
        <w:fldChar w:fldCharType="begin"/>
      </w:r>
      <w:r>
        <w:instrText xml:space="preserve"> REF _Ref371947294 \h </w:instrText>
      </w:r>
      <w:r>
        <w:fldChar w:fldCharType="separate"/>
      </w:r>
      <w:r w:rsidR="0040500C" w:rsidRPr="005D1E91">
        <w:t xml:space="preserve">Table </w:t>
      </w:r>
      <w:r w:rsidR="0040500C">
        <w:t>3</w:t>
      </w:r>
      <w:r w:rsidR="0040500C" w:rsidRPr="005D1E91">
        <w:t xml:space="preserve"> – Document Inventory</w:t>
      </w:r>
      <w:r>
        <w:fldChar w:fldCharType="end"/>
      </w:r>
      <w:r w:rsidRPr="00DB5441">
        <w:t xml:space="preserve"> </w:t>
      </w:r>
      <w:r w:rsidR="00DB5441" w:rsidRPr="00DB5441">
        <w:t xml:space="preserve">lists the documents provided to </w:t>
      </w:r>
      <w:r w:rsidR="00DB5441">
        <w:t>Mathtech</w:t>
      </w:r>
      <w:r w:rsidR="00DB5441" w:rsidRPr="00DB5441">
        <w:t xml:space="preserve"> by the State for review during the</w:t>
      </w:r>
      <w:r w:rsidR="00F922D1">
        <w:t xml:space="preserve"> </w:t>
      </w:r>
      <w:r w:rsidR="00DB5441" w:rsidRPr="00DB5441">
        <w:t>Independent Review process.</w:t>
      </w:r>
    </w:p>
    <w:p w14:paraId="5CBDB2F9" w14:textId="5183E921" w:rsidR="000670DF" w:rsidRDefault="000670DF" w:rsidP="000670DF">
      <w:pPr>
        <w:pStyle w:val="Heading4"/>
      </w:pPr>
      <w:bookmarkStart w:id="9" w:name="_Ref371947294"/>
      <w:r w:rsidRPr="005D1E91">
        <w:t xml:space="preserve">Table </w:t>
      </w:r>
      <w:r w:rsidR="000220F0">
        <w:t>3</w:t>
      </w:r>
      <w:r w:rsidR="006C44D2" w:rsidRPr="005D1E91">
        <w:t xml:space="preserve"> </w:t>
      </w:r>
      <w:r w:rsidRPr="005D1E91">
        <w:t>– Document Inventory</w:t>
      </w:r>
      <w:bookmarkEnd w:id="9"/>
    </w:p>
    <w:p w14:paraId="16FBF8D7" w14:textId="77777777" w:rsidR="000670DF" w:rsidRPr="000670DF" w:rsidRDefault="000670DF" w:rsidP="00EC0B68">
      <w:pPr>
        <w:pStyle w:val="BodyText"/>
      </w:pPr>
    </w:p>
    <w:tbl>
      <w:tblPr>
        <w:tblStyle w:val="TableGrid"/>
        <w:tblW w:w="0" w:type="auto"/>
        <w:tblLook w:val="00A0" w:firstRow="1" w:lastRow="0" w:firstColumn="1" w:lastColumn="0" w:noHBand="0" w:noVBand="0"/>
      </w:tblPr>
      <w:tblGrid>
        <w:gridCol w:w="3019"/>
        <w:gridCol w:w="1769"/>
        <w:gridCol w:w="4241"/>
      </w:tblGrid>
      <w:tr w:rsidR="00DB5441" w:rsidRPr="001E49E5" w14:paraId="72F60891" w14:textId="77777777" w:rsidTr="00383839">
        <w:tc>
          <w:tcPr>
            <w:tcW w:w="3019" w:type="dxa"/>
            <w:shd w:val="clear" w:color="auto" w:fill="BFBFBF" w:themeFill="background1" w:themeFillShade="BF"/>
          </w:tcPr>
          <w:p w14:paraId="72F6088E" w14:textId="477705C0" w:rsidR="00DB5441" w:rsidRPr="001E49E5" w:rsidRDefault="00DB5441">
            <w:pPr>
              <w:rPr>
                <w:b/>
                <w:sz w:val="18"/>
              </w:rPr>
            </w:pPr>
            <w:r w:rsidRPr="001E49E5">
              <w:rPr>
                <w:b/>
                <w:sz w:val="18"/>
              </w:rPr>
              <w:t>Document Title</w:t>
            </w:r>
            <w:r w:rsidR="00941FD3">
              <w:rPr>
                <w:b/>
                <w:sz w:val="18"/>
              </w:rPr>
              <w:t xml:space="preserve"> / Topic</w:t>
            </w:r>
          </w:p>
        </w:tc>
        <w:tc>
          <w:tcPr>
            <w:tcW w:w="1769" w:type="dxa"/>
            <w:shd w:val="clear" w:color="auto" w:fill="BFBFBF" w:themeFill="background1" w:themeFillShade="BF"/>
          </w:tcPr>
          <w:p w14:paraId="72F6088F" w14:textId="77777777" w:rsidR="00DB5441" w:rsidRPr="001E49E5" w:rsidRDefault="00DB5441">
            <w:pPr>
              <w:rPr>
                <w:b/>
                <w:sz w:val="18"/>
              </w:rPr>
            </w:pPr>
            <w:r w:rsidRPr="001E49E5">
              <w:rPr>
                <w:b/>
                <w:sz w:val="18"/>
              </w:rPr>
              <w:t>Source</w:t>
            </w:r>
          </w:p>
        </w:tc>
        <w:tc>
          <w:tcPr>
            <w:tcW w:w="4241" w:type="dxa"/>
            <w:shd w:val="clear" w:color="auto" w:fill="BFBFBF" w:themeFill="background1" w:themeFillShade="BF"/>
          </w:tcPr>
          <w:p w14:paraId="72F60890" w14:textId="3AC90904" w:rsidR="00DB5441" w:rsidRPr="001E49E5" w:rsidRDefault="001C3AB3">
            <w:pPr>
              <w:rPr>
                <w:b/>
                <w:sz w:val="18"/>
              </w:rPr>
            </w:pPr>
            <w:r>
              <w:rPr>
                <w:b/>
                <w:sz w:val="18"/>
              </w:rPr>
              <w:t>Filename(s)</w:t>
            </w:r>
          </w:p>
        </w:tc>
      </w:tr>
      <w:tr w:rsidR="00DB5441" w:rsidRPr="001E49E5" w14:paraId="72F60895" w14:textId="77777777" w:rsidTr="001E49E5">
        <w:tc>
          <w:tcPr>
            <w:tcW w:w="3019" w:type="dxa"/>
          </w:tcPr>
          <w:p w14:paraId="72F60892" w14:textId="77777777" w:rsidR="00DB5441" w:rsidRPr="001E49E5" w:rsidRDefault="00DB5441">
            <w:pPr>
              <w:rPr>
                <w:sz w:val="18"/>
              </w:rPr>
            </w:pPr>
            <w:r w:rsidRPr="001E49E5">
              <w:rPr>
                <w:sz w:val="18"/>
              </w:rPr>
              <w:t>FAST Response to Information Technology RFP</w:t>
            </w:r>
          </w:p>
        </w:tc>
        <w:tc>
          <w:tcPr>
            <w:tcW w:w="1769" w:type="dxa"/>
          </w:tcPr>
          <w:p w14:paraId="72F60893" w14:textId="77777777" w:rsidR="00DB5441" w:rsidRPr="001E49E5" w:rsidRDefault="00DB5441">
            <w:pPr>
              <w:rPr>
                <w:sz w:val="18"/>
              </w:rPr>
            </w:pPr>
            <w:r w:rsidRPr="001E49E5">
              <w:rPr>
                <w:sz w:val="18"/>
              </w:rPr>
              <w:t>Barbara Cormier</w:t>
            </w:r>
          </w:p>
        </w:tc>
        <w:tc>
          <w:tcPr>
            <w:tcW w:w="4241" w:type="dxa"/>
          </w:tcPr>
          <w:p w14:paraId="72F60894" w14:textId="25E6CBC1" w:rsidR="00DB5441" w:rsidRPr="001E49E5" w:rsidRDefault="001C3AB3">
            <w:pPr>
              <w:rPr>
                <w:sz w:val="18"/>
              </w:rPr>
            </w:pPr>
            <w:r>
              <w:rPr>
                <w:sz w:val="18"/>
              </w:rPr>
              <w:t>_VDT ITS – Consolidated Proposal File – FAST – 19June2013.pdf</w:t>
            </w:r>
          </w:p>
        </w:tc>
      </w:tr>
      <w:tr w:rsidR="00DB5441" w:rsidRPr="001E49E5" w14:paraId="72F60899" w14:textId="77777777" w:rsidTr="001E49E5">
        <w:tc>
          <w:tcPr>
            <w:tcW w:w="3019" w:type="dxa"/>
          </w:tcPr>
          <w:p w14:paraId="72F60896" w14:textId="77777777" w:rsidR="00DB5441" w:rsidRPr="001E49E5" w:rsidRDefault="00DB5441">
            <w:pPr>
              <w:rPr>
                <w:sz w:val="18"/>
              </w:rPr>
            </w:pPr>
            <w:r w:rsidRPr="001E49E5">
              <w:rPr>
                <w:sz w:val="18"/>
              </w:rPr>
              <w:t>VDT ITS Preliminary Project Plan</w:t>
            </w:r>
          </w:p>
        </w:tc>
        <w:tc>
          <w:tcPr>
            <w:tcW w:w="1769" w:type="dxa"/>
          </w:tcPr>
          <w:p w14:paraId="72F60897" w14:textId="77777777" w:rsidR="00DB5441" w:rsidRPr="001E49E5" w:rsidRDefault="00DB5441">
            <w:pPr>
              <w:rPr>
                <w:sz w:val="18"/>
              </w:rPr>
            </w:pPr>
            <w:r w:rsidRPr="001E49E5">
              <w:rPr>
                <w:sz w:val="18"/>
              </w:rPr>
              <w:t>Barbara Cormier</w:t>
            </w:r>
          </w:p>
        </w:tc>
        <w:tc>
          <w:tcPr>
            <w:tcW w:w="4241" w:type="dxa"/>
          </w:tcPr>
          <w:p w14:paraId="72F60898" w14:textId="3F769ACE" w:rsidR="00DB5441" w:rsidRPr="001E49E5" w:rsidRDefault="001C3AB3">
            <w:pPr>
              <w:rPr>
                <w:sz w:val="18"/>
              </w:rPr>
            </w:pPr>
            <w:r>
              <w:rPr>
                <w:sz w:val="18"/>
              </w:rPr>
              <w:t>VDT ITS Preliminary Project Plan.mpp</w:t>
            </w:r>
          </w:p>
        </w:tc>
      </w:tr>
      <w:tr w:rsidR="00DB5441" w:rsidRPr="001E49E5" w14:paraId="72F6089D" w14:textId="77777777" w:rsidTr="001E49E5">
        <w:tc>
          <w:tcPr>
            <w:tcW w:w="3019" w:type="dxa"/>
          </w:tcPr>
          <w:p w14:paraId="72F6089A" w14:textId="77777777" w:rsidR="00DB5441" w:rsidRPr="001E49E5" w:rsidRDefault="00DB5441">
            <w:pPr>
              <w:rPr>
                <w:sz w:val="18"/>
              </w:rPr>
            </w:pPr>
            <w:r w:rsidRPr="001E49E5">
              <w:rPr>
                <w:sz w:val="18"/>
              </w:rPr>
              <w:t>DII Strategic Plan FY2013-2018</w:t>
            </w:r>
          </w:p>
        </w:tc>
        <w:tc>
          <w:tcPr>
            <w:tcW w:w="1769" w:type="dxa"/>
          </w:tcPr>
          <w:p w14:paraId="72F6089B" w14:textId="77777777" w:rsidR="00DB5441" w:rsidRPr="001E49E5" w:rsidRDefault="00DB5441">
            <w:pPr>
              <w:rPr>
                <w:sz w:val="18"/>
              </w:rPr>
            </w:pPr>
            <w:r w:rsidRPr="001E49E5">
              <w:rPr>
                <w:sz w:val="18"/>
              </w:rPr>
              <w:t>Barbara Cormier</w:t>
            </w:r>
          </w:p>
        </w:tc>
        <w:tc>
          <w:tcPr>
            <w:tcW w:w="4241" w:type="dxa"/>
          </w:tcPr>
          <w:p w14:paraId="72F6089C" w14:textId="441D9BEA" w:rsidR="00DB5441" w:rsidRPr="001E49E5" w:rsidRDefault="001C3AB3">
            <w:pPr>
              <w:rPr>
                <w:sz w:val="18"/>
              </w:rPr>
            </w:pPr>
            <w:r>
              <w:rPr>
                <w:sz w:val="18"/>
              </w:rPr>
              <w:t>DII-Strategic-Plan-FY2013-2018.pdf</w:t>
            </w:r>
          </w:p>
        </w:tc>
      </w:tr>
      <w:tr w:rsidR="001C3AB3" w:rsidRPr="001E49E5" w14:paraId="72F608A9" w14:textId="77777777" w:rsidTr="001E49E5">
        <w:tc>
          <w:tcPr>
            <w:tcW w:w="3019" w:type="dxa"/>
          </w:tcPr>
          <w:p w14:paraId="72F608A6" w14:textId="335E1329" w:rsidR="001C3AB3" w:rsidRPr="001E49E5" w:rsidRDefault="001C3AB3">
            <w:pPr>
              <w:rPr>
                <w:sz w:val="18"/>
              </w:rPr>
            </w:pPr>
            <w:r w:rsidRPr="001E49E5">
              <w:rPr>
                <w:sz w:val="18"/>
              </w:rPr>
              <w:t>VDT ITS Business Cas</w:t>
            </w:r>
            <w:r>
              <w:rPr>
                <w:sz w:val="18"/>
              </w:rPr>
              <w:t>e</w:t>
            </w:r>
          </w:p>
        </w:tc>
        <w:tc>
          <w:tcPr>
            <w:tcW w:w="1769" w:type="dxa"/>
          </w:tcPr>
          <w:p w14:paraId="72F608A7" w14:textId="77777777" w:rsidR="001C3AB3" w:rsidRPr="001E49E5" w:rsidRDefault="001C3AB3">
            <w:pPr>
              <w:rPr>
                <w:sz w:val="18"/>
              </w:rPr>
            </w:pPr>
            <w:r w:rsidRPr="001E49E5">
              <w:rPr>
                <w:sz w:val="18"/>
              </w:rPr>
              <w:t>Barbara Cormier</w:t>
            </w:r>
          </w:p>
        </w:tc>
        <w:tc>
          <w:tcPr>
            <w:tcW w:w="4241" w:type="dxa"/>
          </w:tcPr>
          <w:p w14:paraId="72F608A8" w14:textId="5909EBEF" w:rsidR="001C3AB3" w:rsidRPr="001E49E5" w:rsidRDefault="001C3AB3">
            <w:pPr>
              <w:rPr>
                <w:sz w:val="18"/>
              </w:rPr>
            </w:pPr>
            <w:r w:rsidRPr="005D1E91">
              <w:rPr>
                <w:sz w:val="18"/>
              </w:rPr>
              <w:t>VDT ITS Business Case Final 2-4-2013</w:t>
            </w:r>
            <w:r>
              <w:rPr>
                <w:sz w:val="18"/>
              </w:rPr>
              <w:t>.pdf</w:t>
            </w:r>
          </w:p>
        </w:tc>
      </w:tr>
      <w:tr w:rsidR="001C3AB3" w:rsidRPr="001E49E5" w14:paraId="72F608AD" w14:textId="77777777" w:rsidTr="001E49E5">
        <w:tc>
          <w:tcPr>
            <w:tcW w:w="3019" w:type="dxa"/>
          </w:tcPr>
          <w:p w14:paraId="72F608AA" w14:textId="3B11E68F" w:rsidR="001C3AB3" w:rsidRPr="001E49E5" w:rsidRDefault="001C3AB3">
            <w:pPr>
              <w:rPr>
                <w:sz w:val="18"/>
              </w:rPr>
            </w:pPr>
            <w:r>
              <w:rPr>
                <w:sz w:val="18"/>
              </w:rPr>
              <w:t>VDT Request for Proposal</w:t>
            </w:r>
          </w:p>
        </w:tc>
        <w:tc>
          <w:tcPr>
            <w:tcW w:w="1769" w:type="dxa"/>
          </w:tcPr>
          <w:p w14:paraId="72F608AB" w14:textId="77777777" w:rsidR="001C3AB3" w:rsidRPr="001E49E5" w:rsidRDefault="001C3AB3">
            <w:pPr>
              <w:rPr>
                <w:sz w:val="18"/>
              </w:rPr>
            </w:pPr>
            <w:r w:rsidRPr="001E49E5">
              <w:rPr>
                <w:sz w:val="18"/>
              </w:rPr>
              <w:t>Barbara Cormier</w:t>
            </w:r>
          </w:p>
        </w:tc>
        <w:tc>
          <w:tcPr>
            <w:tcW w:w="4241" w:type="dxa"/>
          </w:tcPr>
          <w:p w14:paraId="72F608AC" w14:textId="6491E2EF" w:rsidR="001C3AB3" w:rsidRPr="001E49E5" w:rsidRDefault="001C3AB3" w:rsidP="001C3AB3">
            <w:pPr>
              <w:rPr>
                <w:sz w:val="18"/>
              </w:rPr>
            </w:pPr>
            <w:r w:rsidRPr="005D1E91">
              <w:rPr>
                <w:sz w:val="18"/>
              </w:rPr>
              <w:t>Request for Proposals VDT ITS v9</w:t>
            </w:r>
            <w:r>
              <w:rPr>
                <w:sz w:val="18"/>
              </w:rPr>
              <w:t>.docx and all Attachments</w:t>
            </w:r>
          </w:p>
        </w:tc>
      </w:tr>
      <w:tr w:rsidR="001C3AB3" w:rsidRPr="001E49E5" w14:paraId="72F608B1" w14:textId="77777777" w:rsidTr="001E49E5">
        <w:tc>
          <w:tcPr>
            <w:tcW w:w="3019" w:type="dxa"/>
          </w:tcPr>
          <w:p w14:paraId="72F608AE" w14:textId="6FCB794D" w:rsidR="001C3AB3" w:rsidRPr="001E49E5" w:rsidRDefault="001C3AB3">
            <w:pPr>
              <w:rPr>
                <w:sz w:val="18"/>
              </w:rPr>
            </w:pPr>
            <w:r w:rsidRPr="001E49E5">
              <w:rPr>
                <w:sz w:val="18"/>
              </w:rPr>
              <w:t>VDT ITS Functional and Technical Requirements</w:t>
            </w:r>
          </w:p>
        </w:tc>
        <w:tc>
          <w:tcPr>
            <w:tcW w:w="1769" w:type="dxa"/>
          </w:tcPr>
          <w:p w14:paraId="72F608AF" w14:textId="77777777" w:rsidR="001C3AB3" w:rsidRPr="001E49E5" w:rsidRDefault="001C3AB3">
            <w:pPr>
              <w:rPr>
                <w:sz w:val="18"/>
              </w:rPr>
            </w:pPr>
            <w:r w:rsidRPr="001E49E5">
              <w:rPr>
                <w:sz w:val="18"/>
              </w:rPr>
              <w:t>Barbara Cormier</w:t>
            </w:r>
          </w:p>
        </w:tc>
        <w:tc>
          <w:tcPr>
            <w:tcW w:w="4241" w:type="dxa"/>
          </w:tcPr>
          <w:p w14:paraId="72F608B0" w14:textId="4BBBE3D5" w:rsidR="001C3AB3" w:rsidRPr="001E49E5" w:rsidRDefault="001C3AB3">
            <w:pPr>
              <w:rPr>
                <w:sz w:val="18"/>
              </w:rPr>
            </w:pPr>
            <w:r>
              <w:rPr>
                <w:sz w:val="18"/>
              </w:rPr>
              <w:t>VDT ITS Functional and Technical Requirements final.xls</w:t>
            </w:r>
          </w:p>
        </w:tc>
      </w:tr>
      <w:tr w:rsidR="001C3AB3" w:rsidRPr="001E49E5" w14:paraId="72F608B9" w14:textId="77777777" w:rsidTr="001E49E5">
        <w:tc>
          <w:tcPr>
            <w:tcW w:w="3019" w:type="dxa"/>
          </w:tcPr>
          <w:p w14:paraId="72F608B6" w14:textId="77777777" w:rsidR="001C3AB3" w:rsidRPr="001E49E5" w:rsidRDefault="001C3AB3">
            <w:pPr>
              <w:rPr>
                <w:sz w:val="18"/>
              </w:rPr>
            </w:pPr>
            <w:r w:rsidRPr="001E49E5">
              <w:rPr>
                <w:sz w:val="18"/>
              </w:rPr>
              <w:t>Hawaii Digital Summit Presentation</w:t>
            </w:r>
          </w:p>
        </w:tc>
        <w:tc>
          <w:tcPr>
            <w:tcW w:w="1769" w:type="dxa"/>
          </w:tcPr>
          <w:p w14:paraId="72F608B7" w14:textId="77777777" w:rsidR="001C3AB3" w:rsidRPr="001E49E5" w:rsidRDefault="001C3AB3">
            <w:pPr>
              <w:rPr>
                <w:sz w:val="18"/>
              </w:rPr>
            </w:pPr>
            <w:r w:rsidRPr="001E49E5">
              <w:rPr>
                <w:sz w:val="18"/>
              </w:rPr>
              <w:t>Gregg Mousley</w:t>
            </w:r>
          </w:p>
        </w:tc>
        <w:tc>
          <w:tcPr>
            <w:tcW w:w="4241" w:type="dxa"/>
          </w:tcPr>
          <w:p w14:paraId="72F608B8" w14:textId="66D33F8C" w:rsidR="001C3AB3" w:rsidRPr="001E49E5" w:rsidRDefault="001B7851">
            <w:pPr>
              <w:rPr>
                <w:sz w:val="18"/>
              </w:rPr>
            </w:pPr>
            <w:r>
              <w:rPr>
                <w:sz w:val="18"/>
              </w:rPr>
              <w:t>Hawaii digital summit.pptx</w:t>
            </w:r>
          </w:p>
        </w:tc>
      </w:tr>
      <w:tr w:rsidR="001C3AB3" w:rsidRPr="001E49E5" w14:paraId="72F608BD" w14:textId="77777777" w:rsidTr="001E49E5">
        <w:tc>
          <w:tcPr>
            <w:tcW w:w="3019" w:type="dxa"/>
          </w:tcPr>
          <w:p w14:paraId="72F608BA" w14:textId="5FC3E219" w:rsidR="001C3AB3" w:rsidRPr="001E49E5" w:rsidRDefault="001C3AB3" w:rsidP="003B14F7">
            <w:pPr>
              <w:rPr>
                <w:sz w:val="18"/>
              </w:rPr>
            </w:pPr>
            <w:r w:rsidRPr="001E49E5">
              <w:rPr>
                <w:sz w:val="18"/>
              </w:rPr>
              <w:t>ITS Cost of Ownership</w:t>
            </w:r>
          </w:p>
        </w:tc>
        <w:tc>
          <w:tcPr>
            <w:tcW w:w="1769" w:type="dxa"/>
          </w:tcPr>
          <w:p w14:paraId="72F608BB" w14:textId="77777777" w:rsidR="001C3AB3" w:rsidRPr="001E49E5" w:rsidRDefault="001C3AB3">
            <w:pPr>
              <w:rPr>
                <w:sz w:val="18"/>
              </w:rPr>
            </w:pPr>
            <w:r w:rsidRPr="001E49E5">
              <w:rPr>
                <w:sz w:val="18"/>
              </w:rPr>
              <w:t>Gregg Mousley</w:t>
            </w:r>
          </w:p>
        </w:tc>
        <w:tc>
          <w:tcPr>
            <w:tcW w:w="4241" w:type="dxa"/>
          </w:tcPr>
          <w:p w14:paraId="303EE3FA" w14:textId="77777777" w:rsidR="001C3AB3" w:rsidRDefault="003B14F7">
            <w:pPr>
              <w:rPr>
                <w:sz w:val="18"/>
              </w:rPr>
            </w:pPr>
            <w:r w:rsidRPr="005D1E91">
              <w:rPr>
                <w:sz w:val="18"/>
              </w:rPr>
              <w:t>2013 ITS RFP Cost of Ownership (V3)</w:t>
            </w:r>
            <w:r>
              <w:rPr>
                <w:sz w:val="18"/>
              </w:rPr>
              <w:t>.xls</w:t>
            </w:r>
          </w:p>
          <w:p w14:paraId="72F608BC" w14:textId="27D90C68" w:rsidR="00941FD3" w:rsidRPr="001E49E5" w:rsidRDefault="00941FD3" w:rsidP="00941FD3">
            <w:pPr>
              <w:rPr>
                <w:sz w:val="18"/>
              </w:rPr>
            </w:pPr>
            <w:r w:rsidRPr="005D1E91">
              <w:rPr>
                <w:sz w:val="18"/>
              </w:rPr>
              <w:t>2013 ITS RFP Cost of Ownership (V</w:t>
            </w:r>
            <w:r>
              <w:rPr>
                <w:sz w:val="18"/>
              </w:rPr>
              <w:t>4</w:t>
            </w:r>
            <w:r w:rsidRPr="005D1E91">
              <w:rPr>
                <w:sz w:val="18"/>
              </w:rPr>
              <w:t>)</w:t>
            </w:r>
            <w:r>
              <w:rPr>
                <w:sz w:val="18"/>
              </w:rPr>
              <w:t>.xls</w:t>
            </w:r>
          </w:p>
        </w:tc>
      </w:tr>
      <w:tr w:rsidR="001C3AB3" w:rsidRPr="001E49E5" w14:paraId="72F608C1" w14:textId="77777777" w:rsidTr="001E49E5">
        <w:tc>
          <w:tcPr>
            <w:tcW w:w="3019" w:type="dxa"/>
          </w:tcPr>
          <w:p w14:paraId="72F608BE" w14:textId="77777777" w:rsidR="001C3AB3" w:rsidRPr="001E49E5" w:rsidRDefault="001C3AB3">
            <w:pPr>
              <w:rPr>
                <w:sz w:val="18"/>
              </w:rPr>
            </w:pPr>
            <w:r w:rsidRPr="001E49E5">
              <w:rPr>
                <w:sz w:val="18"/>
              </w:rPr>
              <w:t>VIC Portal Cost Projections</w:t>
            </w:r>
          </w:p>
        </w:tc>
        <w:tc>
          <w:tcPr>
            <w:tcW w:w="1769" w:type="dxa"/>
          </w:tcPr>
          <w:p w14:paraId="72F608BF" w14:textId="77777777" w:rsidR="001C3AB3" w:rsidRPr="001E49E5" w:rsidRDefault="001C3AB3">
            <w:pPr>
              <w:rPr>
                <w:sz w:val="18"/>
              </w:rPr>
            </w:pPr>
            <w:r w:rsidRPr="001E49E5">
              <w:rPr>
                <w:sz w:val="18"/>
              </w:rPr>
              <w:t>Gregg Mousley</w:t>
            </w:r>
          </w:p>
        </w:tc>
        <w:tc>
          <w:tcPr>
            <w:tcW w:w="4241" w:type="dxa"/>
          </w:tcPr>
          <w:p w14:paraId="72F608C0" w14:textId="6EBEC618" w:rsidR="001C3AB3" w:rsidRPr="001E49E5" w:rsidRDefault="003B14F7">
            <w:pPr>
              <w:rPr>
                <w:sz w:val="18"/>
              </w:rPr>
            </w:pPr>
            <w:r>
              <w:rPr>
                <w:sz w:val="18"/>
              </w:rPr>
              <w:t>VIC Portal Costs Projection.xlsx (10/28/13)</w:t>
            </w:r>
          </w:p>
        </w:tc>
      </w:tr>
      <w:tr w:rsidR="001C3AB3" w:rsidRPr="001E49E5" w14:paraId="72F608C5" w14:textId="77777777" w:rsidTr="001E49E5">
        <w:tc>
          <w:tcPr>
            <w:tcW w:w="3019" w:type="dxa"/>
          </w:tcPr>
          <w:p w14:paraId="72F608C2" w14:textId="77777777" w:rsidR="001C3AB3" w:rsidRPr="001E49E5" w:rsidRDefault="001C3AB3">
            <w:pPr>
              <w:rPr>
                <w:sz w:val="18"/>
              </w:rPr>
            </w:pPr>
            <w:r w:rsidRPr="001E49E5">
              <w:rPr>
                <w:sz w:val="18"/>
              </w:rPr>
              <w:t>FAST Reference call notes</w:t>
            </w:r>
          </w:p>
        </w:tc>
        <w:tc>
          <w:tcPr>
            <w:tcW w:w="1769" w:type="dxa"/>
          </w:tcPr>
          <w:p w14:paraId="72F608C3" w14:textId="77777777" w:rsidR="001C3AB3" w:rsidRPr="001E49E5" w:rsidRDefault="001C3AB3">
            <w:pPr>
              <w:rPr>
                <w:sz w:val="18"/>
              </w:rPr>
            </w:pPr>
            <w:r w:rsidRPr="001E49E5">
              <w:rPr>
                <w:sz w:val="18"/>
              </w:rPr>
              <w:t>Gregg Mousley</w:t>
            </w:r>
          </w:p>
        </w:tc>
        <w:tc>
          <w:tcPr>
            <w:tcW w:w="4241" w:type="dxa"/>
          </w:tcPr>
          <w:p w14:paraId="27C266C7" w14:textId="77777777" w:rsidR="001C3AB3" w:rsidRDefault="003B14F7">
            <w:pPr>
              <w:rPr>
                <w:sz w:val="18"/>
              </w:rPr>
            </w:pPr>
            <w:r>
              <w:rPr>
                <w:sz w:val="18"/>
              </w:rPr>
              <w:t>Notes on Reference Checks for Mary Peterson.doc</w:t>
            </w:r>
          </w:p>
          <w:p w14:paraId="72F608C4" w14:textId="254704D2" w:rsidR="003B14F7" w:rsidRPr="001E49E5" w:rsidRDefault="003B14F7">
            <w:pPr>
              <w:rPr>
                <w:sz w:val="18"/>
              </w:rPr>
            </w:pPr>
            <w:r>
              <w:rPr>
                <w:sz w:val="18"/>
              </w:rPr>
              <w:t>Reference call notes for Gregg Mousley.doc</w:t>
            </w:r>
          </w:p>
        </w:tc>
      </w:tr>
      <w:tr w:rsidR="003B14F7" w:rsidRPr="001E49E5" w14:paraId="3ABE798E" w14:textId="77777777" w:rsidTr="001C3AB3">
        <w:tc>
          <w:tcPr>
            <w:tcW w:w="3019" w:type="dxa"/>
          </w:tcPr>
          <w:p w14:paraId="131478D9" w14:textId="25EA7ADF" w:rsidR="003B14F7" w:rsidRPr="003B14F7" w:rsidRDefault="003B14F7">
            <w:pPr>
              <w:rPr>
                <w:sz w:val="18"/>
              </w:rPr>
            </w:pPr>
            <w:r>
              <w:rPr>
                <w:sz w:val="18"/>
              </w:rPr>
              <w:t>ITS Benefit Estimates</w:t>
            </w:r>
          </w:p>
        </w:tc>
        <w:tc>
          <w:tcPr>
            <w:tcW w:w="1769" w:type="dxa"/>
          </w:tcPr>
          <w:p w14:paraId="136CCB11" w14:textId="4AC880BE" w:rsidR="003B14F7" w:rsidRPr="003B14F7" w:rsidRDefault="003B14F7">
            <w:pPr>
              <w:rPr>
                <w:sz w:val="18"/>
              </w:rPr>
            </w:pPr>
            <w:r>
              <w:rPr>
                <w:sz w:val="18"/>
              </w:rPr>
              <w:t>Gregg Mousley</w:t>
            </w:r>
          </w:p>
        </w:tc>
        <w:tc>
          <w:tcPr>
            <w:tcW w:w="4241" w:type="dxa"/>
          </w:tcPr>
          <w:p w14:paraId="4FB7016C" w14:textId="08FFE24D" w:rsidR="003B14F7" w:rsidRDefault="003B14F7">
            <w:pPr>
              <w:rPr>
                <w:sz w:val="18"/>
              </w:rPr>
            </w:pPr>
            <w:r>
              <w:rPr>
                <w:sz w:val="18"/>
              </w:rPr>
              <w:t>ITS Benefits.xls</w:t>
            </w:r>
          </w:p>
        </w:tc>
      </w:tr>
      <w:tr w:rsidR="003B14F7" w:rsidRPr="001E49E5" w14:paraId="3D7A179C" w14:textId="77777777" w:rsidTr="001C3AB3">
        <w:tc>
          <w:tcPr>
            <w:tcW w:w="3019" w:type="dxa"/>
          </w:tcPr>
          <w:p w14:paraId="00120527" w14:textId="237F3AE2" w:rsidR="003B14F7" w:rsidRPr="003B14F7" w:rsidRDefault="003B14F7">
            <w:pPr>
              <w:rPr>
                <w:sz w:val="18"/>
              </w:rPr>
            </w:pPr>
            <w:r w:rsidRPr="003B14F7">
              <w:rPr>
                <w:sz w:val="18"/>
              </w:rPr>
              <w:t>Benefit Sources and Baselines</w:t>
            </w:r>
          </w:p>
        </w:tc>
        <w:tc>
          <w:tcPr>
            <w:tcW w:w="1769" w:type="dxa"/>
          </w:tcPr>
          <w:p w14:paraId="4E5C5C45" w14:textId="48189977" w:rsidR="003B14F7" w:rsidRPr="003B14F7" w:rsidRDefault="003B14F7">
            <w:pPr>
              <w:rPr>
                <w:sz w:val="18"/>
              </w:rPr>
            </w:pPr>
            <w:r>
              <w:rPr>
                <w:sz w:val="18"/>
              </w:rPr>
              <w:t>Gregg Mousley</w:t>
            </w:r>
          </w:p>
        </w:tc>
        <w:tc>
          <w:tcPr>
            <w:tcW w:w="4241" w:type="dxa"/>
          </w:tcPr>
          <w:p w14:paraId="484C9843" w14:textId="6302ABBE" w:rsidR="003B14F7" w:rsidRDefault="00AE3CE8">
            <w:pPr>
              <w:rPr>
                <w:sz w:val="18"/>
              </w:rPr>
            </w:pPr>
            <w:r w:rsidRPr="00AE3CE8">
              <w:rPr>
                <w:sz w:val="18"/>
              </w:rPr>
              <w:t>Benefits Sources and Baselines v2</w:t>
            </w:r>
            <w:r w:rsidR="003B14F7">
              <w:rPr>
                <w:sz w:val="18"/>
              </w:rPr>
              <w:t>.docx</w:t>
            </w:r>
          </w:p>
        </w:tc>
      </w:tr>
      <w:tr w:rsidR="00AE3CE8" w:rsidRPr="001E49E5" w14:paraId="49CD0929" w14:textId="77777777" w:rsidTr="001C3AB3">
        <w:tc>
          <w:tcPr>
            <w:tcW w:w="3019" w:type="dxa"/>
          </w:tcPr>
          <w:p w14:paraId="024BB914" w14:textId="3FF847CF" w:rsidR="00AE3CE8" w:rsidRDefault="00AE3CE8">
            <w:pPr>
              <w:rPr>
                <w:sz w:val="18"/>
              </w:rPr>
            </w:pPr>
            <w:r>
              <w:rPr>
                <w:sz w:val="18"/>
              </w:rPr>
              <w:t>Lifecycle Cost Analysis for RSI Data Warehouse</w:t>
            </w:r>
          </w:p>
        </w:tc>
        <w:tc>
          <w:tcPr>
            <w:tcW w:w="1769" w:type="dxa"/>
          </w:tcPr>
          <w:p w14:paraId="2E07D948" w14:textId="56A252C1" w:rsidR="00AE3CE8" w:rsidRDefault="00AE3CE8">
            <w:pPr>
              <w:rPr>
                <w:sz w:val="18"/>
              </w:rPr>
            </w:pPr>
            <w:r>
              <w:rPr>
                <w:sz w:val="18"/>
              </w:rPr>
              <w:t>Gregg Mousley</w:t>
            </w:r>
          </w:p>
        </w:tc>
        <w:tc>
          <w:tcPr>
            <w:tcW w:w="4241" w:type="dxa"/>
          </w:tcPr>
          <w:p w14:paraId="7E276EA7" w14:textId="384A61C9" w:rsidR="00AE3CE8" w:rsidRDefault="00AE3CE8">
            <w:pPr>
              <w:rPr>
                <w:sz w:val="18"/>
              </w:rPr>
            </w:pPr>
            <w:r>
              <w:rPr>
                <w:sz w:val="18"/>
              </w:rPr>
              <w:t>Life-Cycle-Cost-Analysis – RSI-DTax-FY14.xlsx</w:t>
            </w:r>
          </w:p>
        </w:tc>
      </w:tr>
      <w:tr w:rsidR="00AE3CE8" w:rsidRPr="001E49E5" w14:paraId="6169443E" w14:textId="77777777" w:rsidTr="001C3AB3">
        <w:tc>
          <w:tcPr>
            <w:tcW w:w="3019" w:type="dxa"/>
          </w:tcPr>
          <w:p w14:paraId="1022C27A" w14:textId="1E35525A" w:rsidR="00AE3CE8" w:rsidRDefault="00AE3CE8">
            <w:pPr>
              <w:rPr>
                <w:sz w:val="18"/>
              </w:rPr>
            </w:pPr>
            <w:r>
              <w:rPr>
                <w:sz w:val="18"/>
              </w:rPr>
              <w:t>FY14 IT Activities</w:t>
            </w:r>
          </w:p>
        </w:tc>
        <w:tc>
          <w:tcPr>
            <w:tcW w:w="1769" w:type="dxa"/>
          </w:tcPr>
          <w:p w14:paraId="208B877B" w14:textId="7B925802" w:rsidR="00AE3CE8" w:rsidRDefault="00AE3CE8">
            <w:pPr>
              <w:rPr>
                <w:sz w:val="18"/>
              </w:rPr>
            </w:pPr>
            <w:r>
              <w:rPr>
                <w:sz w:val="18"/>
              </w:rPr>
              <w:t>Gregg Mousley</w:t>
            </w:r>
          </w:p>
        </w:tc>
        <w:tc>
          <w:tcPr>
            <w:tcW w:w="4241" w:type="dxa"/>
          </w:tcPr>
          <w:p w14:paraId="23D94643" w14:textId="65B93486" w:rsidR="00AE3CE8" w:rsidRDefault="00AE3CE8">
            <w:pPr>
              <w:rPr>
                <w:sz w:val="18"/>
              </w:rPr>
            </w:pPr>
            <w:r w:rsidRPr="00AE3CE8">
              <w:rPr>
                <w:sz w:val="18"/>
              </w:rPr>
              <w:t>TAX $100k IT Activities FY2014</w:t>
            </w:r>
            <w:r>
              <w:rPr>
                <w:sz w:val="18"/>
              </w:rPr>
              <w:t>.xlsx</w:t>
            </w:r>
          </w:p>
        </w:tc>
      </w:tr>
      <w:tr w:rsidR="00AE3CE8" w:rsidRPr="001E49E5" w14:paraId="438C797B" w14:textId="77777777" w:rsidTr="001C3AB3">
        <w:tc>
          <w:tcPr>
            <w:tcW w:w="3019" w:type="dxa"/>
          </w:tcPr>
          <w:p w14:paraId="63446D9E" w14:textId="7EA50E79" w:rsidR="00AE3CE8" w:rsidRDefault="00AE3CE8">
            <w:pPr>
              <w:rPr>
                <w:sz w:val="18"/>
              </w:rPr>
            </w:pPr>
            <w:r>
              <w:rPr>
                <w:sz w:val="18"/>
              </w:rPr>
              <w:t>RSI Data Warehouse Benefits Forecast</w:t>
            </w:r>
          </w:p>
        </w:tc>
        <w:tc>
          <w:tcPr>
            <w:tcW w:w="1769" w:type="dxa"/>
          </w:tcPr>
          <w:p w14:paraId="532E34FE" w14:textId="1D29389D" w:rsidR="00AE3CE8" w:rsidRDefault="00AE3CE8">
            <w:pPr>
              <w:rPr>
                <w:sz w:val="18"/>
              </w:rPr>
            </w:pPr>
            <w:r>
              <w:rPr>
                <w:sz w:val="18"/>
              </w:rPr>
              <w:t>Gregg Mousley</w:t>
            </w:r>
          </w:p>
        </w:tc>
        <w:tc>
          <w:tcPr>
            <w:tcW w:w="4241" w:type="dxa"/>
          </w:tcPr>
          <w:p w14:paraId="2EB3D203" w14:textId="53B6A782" w:rsidR="00AE3CE8" w:rsidRDefault="00AE3CE8">
            <w:pPr>
              <w:rPr>
                <w:sz w:val="18"/>
              </w:rPr>
            </w:pPr>
            <w:r w:rsidRPr="00AE3CE8">
              <w:rPr>
                <w:sz w:val="18"/>
              </w:rPr>
              <w:t>Benefits_Forecast_BY_FISCAL_YEAR</w:t>
            </w:r>
            <w:r>
              <w:rPr>
                <w:sz w:val="18"/>
              </w:rPr>
              <w:t>.xlsx</w:t>
            </w:r>
          </w:p>
        </w:tc>
      </w:tr>
      <w:tr w:rsidR="00AE3CE8" w:rsidRPr="001E49E5" w14:paraId="4EAAA8FD" w14:textId="77777777" w:rsidTr="001C3AB3">
        <w:tc>
          <w:tcPr>
            <w:tcW w:w="3019" w:type="dxa"/>
          </w:tcPr>
          <w:p w14:paraId="7F1D4CF4" w14:textId="5ABB5965" w:rsidR="00AE3CE8" w:rsidRDefault="00AE3CE8">
            <w:pPr>
              <w:rPr>
                <w:sz w:val="18"/>
              </w:rPr>
            </w:pPr>
            <w:r>
              <w:rPr>
                <w:sz w:val="18"/>
              </w:rPr>
              <w:t>Lifecycle Cost Analysis for GenTax</w:t>
            </w:r>
          </w:p>
        </w:tc>
        <w:tc>
          <w:tcPr>
            <w:tcW w:w="1769" w:type="dxa"/>
          </w:tcPr>
          <w:p w14:paraId="221E34B6" w14:textId="27C20EB7" w:rsidR="00AE3CE8" w:rsidRDefault="00AE3CE8">
            <w:pPr>
              <w:rPr>
                <w:sz w:val="18"/>
              </w:rPr>
            </w:pPr>
            <w:r>
              <w:rPr>
                <w:sz w:val="18"/>
              </w:rPr>
              <w:t>Gregg Mousley</w:t>
            </w:r>
          </w:p>
        </w:tc>
        <w:tc>
          <w:tcPr>
            <w:tcW w:w="4241" w:type="dxa"/>
          </w:tcPr>
          <w:p w14:paraId="7BD8FE8F" w14:textId="4E68DBB8" w:rsidR="00AE3CE8" w:rsidRDefault="00AE3CE8">
            <w:pPr>
              <w:rPr>
                <w:sz w:val="18"/>
              </w:rPr>
            </w:pPr>
            <w:r w:rsidRPr="00AE3CE8">
              <w:rPr>
                <w:sz w:val="18"/>
              </w:rPr>
              <w:t>Life-Cycle-Cost-Analysis - GENTAX-For5YrDIIPLan</w:t>
            </w:r>
            <w:r>
              <w:rPr>
                <w:sz w:val="18"/>
              </w:rPr>
              <w:t>.xlsx</w:t>
            </w:r>
          </w:p>
        </w:tc>
      </w:tr>
      <w:tr w:rsidR="00AE3CE8" w:rsidRPr="001E49E5" w14:paraId="1415B83F" w14:textId="77777777" w:rsidTr="001C3AB3">
        <w:tc>
          <w:tcPr>
            <w:tcW w:w="3019" w:type="dxa"/>
          </w:tcPr>
          <w:p w14:paraId="738859F6" w14:textId="52694BA4" w:rsidR="00AE3CE8" w:rsidRDefault="00AE3CE8">
            <w:pPr>
              <w:rPr>
                <w:sz w:val="18"/>
              </w:rPr>
            </w:pPr>
            <w:r>
              <w:rPr>
                <w:sz w:val="18"/>
              </w:rPr>
              <w:t>Lifecycle Cost Analysis for Oracle ETM</w:t>
            </w:r>
          </w:p>
        </w:tc>
        <w:tc>
          <w:tcPr>
            <w:tcW w:w="1769" w:type="dxa"/>
          </w:tcPr>
          <w:p w14:paraId="50F01ECA" w14:textId="57372B33" w:rsidR="00AE3CE8" w:rsidRDefault="00AE3CE8">
            <w:pPr>
              <w:rPr>
                <w:sz w:val="18"/>
              </w:rPr>
            </w:pPr>
            <w:r>
              <w:rPr>
                <w:sz w:val="18"/>
              </w:rPr>
              <w:t>Gregg Mousley</w:t>
            </w:r>
          </w:p>
        </w:tc>
        <w:tc>
          <w:tcPr>
            <w:tcW w:w="4241" w:type="dxa"/>
          </w:tcPr>
          <w:p w14:paraId="26D9FEEE" w14:textId="762EDC40" w:rsidR="00AE3CE8" w:rsidRDefault="00AE3CE8">
            <w:pPr>
              <w:rPr>
                <w:sz w:val="18"/>
              </w:rPr>
            </w:pPr>
            <w:r w:rsidRPr="00AE3CE8">
              <w:rPr>
                <w:sz w:val="18"/>
              </w:rPr>
              <w:t>Life-Cycle-Cost-Analysis - ETM Ongoing-FY14</w:t>
            </w:r>
            <w:r>
              <w:rPr>
                <w:sz w:val="18"/>
              </w:rPr>
              <w:t>.xlsx</w:t>
            </w:r>
          </w:p>
        </w:tc>
      </w:tr>
      <w:tr w:rsidR="00AE3CE8" w:rsidRPr="001E49E5" w14:paraId="05ED06C1" w14:textId="77777777" w:rsidTr="001C3AB3">
        <w:tc>
          <w:tcPr>
            <w:tcW w:w="3019" w:type="dxa"/>
          </w:tcPr>
          <w:p w14:paraId="6DBEF90C" w14:textId="786B9613" w:rsidR="00AE3CE8" w:rsidRDefault="00AE3CE8">
            <w:pPr>
              <w:rPr>
                <w:sz w:val="18"/>
              </w:rPr>
            </w:pPr>
            <w:r>
              <w:rPr>
                <w:sz w:val="18"/>
              </w:rPr>
              <w:t>Lifecycle Cost Analysis for Advantage Revenue</w:t>
            </w:r>
          </w:p>
        </w:tc>
        <w:tc>
          <w:tcPr>
            <w:tcW w:w="1769" w:type="dxa"/>
          </w:tcPr>
          <w:p w14:paraId="5265222A" w14:textId="7A81150C" w:rsidR="00AE3CE8" w:rsidRDefault="00AE3CE8">
            <w:pPr>
              <w:rPr>
                <w:sz w:val="18"/>
              </w:rPr>
            </w:pPr>
            <w:r>
              <w:rPr>
                <w:sz w:val="18"/>
              </w:rPr>
              <w:t>Gregg Mousley</w:t>
            </w:r>
          </w:p>
        </w:tc>
        <w:tc>
          <w:tcPr>
            <w:tcW w:w="4241" w:type="dxa"/>
          </w:tcPr>
          <w:p w14:paraId="0CDC992D" w14:textId="53B831C4" w:rsidR="00AE3CE8" w:rsidRDefault="00AE3CE8">
            <w:pPr>
              <w:rPr>
                <w:sz w:val="18"/>
              </w:rPr>
            </w:pPr>
            <w:r w:rsidRPr="00AE3CE8">
              <w:rPr>
                <w:sz w:val="18"/>
              </w:rPr>
              <w:t>Life-Cycle-Cost-Analysis - AdvRev-FY14</w:t>
            </w:r>
            <w:r>
              <w:rPr>
                <w:sz w:val="18"/>
              </w:rPr>
              <w:t>.xlsx</w:t>
            </w:r>
          </w:p>
        </w:tc>
      </w:tr>
      <w:tr w:rsidR="00AE3CE8" w:rsidRPr="001E49E5" w14:paraId="59D4EE97" w14:textId="77777777" w:rsidTr="001C3AB3">
        <w:tc>
          <w:tcPr>
            <w:tcW w:w="3019" w:type="dxa"/>
          </w:tcPr>
          <w:p w14:paraId="7128BE73" w14:textId="5C59FEEC" w:rsidR="00AE3CE8" w:rsidRDefault="00AE3CE8">
            <w:pPr>
              <w:rPr>
                <w:sz w:val="18"/>
              </w:rPr>
            </w:pPr>
            <w:r>
              <w:rPr>
                <w:sz w:val="18"/>
              </w:rPr>
              <w:t>FAST Benefits Estimates</w:t>
            </w:r>
          </w:p>
        </w:tc>
        <w:tc>
          <w:tcPr>
            <w:tcW w:w="1769" w:type="dxa"/>
          </w:tcPr>
          <w:p w14:paraId="431F45A7" w14:textId="45115F2D" w:rsidR="00AE3CE8" w:rsidRDefault="00AE3CE8">
            <w:pPr>
              <w:rPr>
                <w:sz w:val="18"/>
              </w:rPr>
            </w:pPr>
            <w:r>
              <w:rPr>
                <w:sz w:val="18"/>
              </w:rPr>
              <w:t>Gregg Mousley</w:t>
            </w:r>
          </w:p>
        </w:tc>
        <w:tc>
          <w:tcPr>
            <w:tcW w:w="4241" w:type="dxa"/>
          </w:tcPr>
          <w:p w14:paraId="21BFE585" w14:textId="039591F5" w:rsidR="00AE3CE8" w:rsidRDefault="00AE3CE8">
            <w:pPr>
              <w:rPr>
                <w:sz w:val="18"/>
              </w:rPr>
            </w:pPr>
            <w:r>
              <w:rPr>
                <w:sz w:val="18"/>
              </w:rPr>
              <w:t>VT Benefits Projections v1.xlsx</w:t>
            </w:r>
          </w:p>
        </w:tc>
      </w:tr>
      <w:tr w:rsidR="00AE3CE8" w:rsidRPr="001E49E5" w14:paraId="79DC3153" w14:textId="77777777" w:rsidTr="001C3AB3">
        <w:tc>
          <w:tcPr>
            <w:tcW w:w="3019" w:type="dxa"/>
          </w:tcPr>
          <w:p w14:paraId="58D1F770" w14:textId="4ADAD054" w:rsidR="00AE3CE8" w:rsidRDefault="00941FD3">
            <w:pPr>
              <w:rPr>
                <w:sz w:val="18"/>
              </w:rPr>
            </w:pPr>
            <w:r>
              <w:rPr>
                <w:sz w:val="18"/>
              </w:rPr>
              <w:t>Infrastructure cost estimates</w:t>
            </w:r>
          </w:p>
        </w:tc>
        <w:tc>
          <w:tcPr>
            <w:tcW w:w="1769" w:type="dxa"/>
          </w:tcPr>
          <w:p w14:paraId="0A0E62B3" w14:textId="59276969" w:rsidR="00AE3CE8" w:rsidRDefault="00941FD3">
            <w:pPr>
              <w:rPr>
                <w:sz w:val="18"/>
              </w:rPr>
            </w:pPr>
            <w:r>
              <w:rPr>
                <w:sz w:val="18"/>
              </w:rPr>
              <w:t>Claus Lund</w:t>
            </w:r>
          </w:p>
        </w:tc>
        <w:tc>
          <w:tcPr>
            <w:tcW w:w="4241" w:type="dxa"/>
          </w:tcPr>
          <w:p w14:paraId="64ED2CCA" w14:textId="724136A8" w:rsidR="00AE3CE8" w:rsidRDefault="00941FD3">
            <w:pPr>
              <w:rPr>
                <w:sz w:val="18"/>
              </w:rPr>
            </w:pPr>
            <w:r w:rsidRPr="00941FD3">
              <w:rPr>
                <w:sz w:val="18"/>
              </w:rPr>
              <w:t>TAX FAST SUSTAIN MODEL MMOREY</w:t>
            </w:r>
            <w:r>
              <w:rPr>
                <w:sz w:val="18"/>
              </w:rPr>
              <w:t>.xlsx</w:t>
            </w:r>
          </w:p>
        </w:tc>
      </w:tr>
    </w:tbl>
    <w:p w14:paraId="6E18FFCC" w14:textId="77777777" w:rsidR="000670DF" w:rsidRDefault="000670DF" w:rsidP="00F41781">
      <w:pPr>
        <w:widowControl w:val="0"/>
        <w:autoSpaceDE w:val="0"/>
        <w:autoSpaceDN w:val="0"/>
        <w:adjustRightInd w:val="0"/>
      </w:pPr>
    </w:p>
    <w:p w14:paraId="2AFC46AF" w14:textId="77777777" w:rsidR="00545647" w:rsidRDefault="00545647">
      <w:r>
        <w:br w:type="page"/>
      </w:r>
    </w:p>
    <w:p w14:paraId="72F608C7" w14:textId="5024B338" w:rsidR="00F41781" w:rsidRDefault="006C44D2" w:rsidP="00F41781">
      <w:pPr>
        <w:widowControl w:val="0"/>
        <w:autoSpaceDE w:val="0"/>
        <w:autoSpaceDN w:val="0"/>
        <w:adjustRightInd w:val="0"/>
      </w:pPr>
      <w:r>
        <w:fldChar w:fldCharType="begin"/>
      </w:r>
      <w:r>
        <w:instrText xml:space="preserve"> REF _Ref371951817 \h </w:instrText>
      </w:r>
      <w:r>
        <w:fldChar w:fldCharType="separate"/>
      </w:r>
      <w:r w:rsidR="0040500C">
        <w:t>Table 4 – Interview Sessions</w:t>
      </w:r>
      <w:r>
        <w:fldChar w:fldCharType="end"/>
      </w:r>
      <w:r w:rsidR="00F41781" w:rsidRPr="00F41781">
        <w:t xml:space="preserve"> lists the intervie</w:t>
      </w:r>
      <w:r w:rsidR="000E4D26">
        <w:t>w session conducted by Mathtech</w:t>
      </w:r>
      <w:r w:rsidR="00F41781" w:rsidRPr="00F41781">
        <w:t xml:space="preserve"> as part of the Independent Review</w:t>
      </w:r>
      <w:r w:rsidR="00F41781">
        <w:t xml:space="preserve"> </w:t>
      </w:r>
      <w:r w:rsidR="00F41781" w:rsidRPr="00F41781">
        <w:t>process.</w:t>
      </w:r>
      <w:r w:rsidR="00545647">
        <w:t xml:space="preserve">  In addition to the formal interviews noted in Table 4, multiple follow up conference calls were held between Mathtech, VDT and DII to review cost of ownership values.  </w:t>
      </w:r>
    </w:p>
    <w:p w14:paraId="72F608C9" w14:textId="57EA7B10" w:rsidR="00197486" w:rsidRDefault="000670DF" w:rsidP="000670DF">
      <w:pPr>
        <w:pStyle w:val="Heading4"/>
      </w:pPr>
      <w:bookmarkStart w:id="10" w:name="_Ref371951817"/>
      <w:r>
        <w:t xml:space="preserve">Table </w:t>
      </w:r>
      <w:r w:rsidR="000220F0">
        <w:t>4</w:t>
      </w:r>
      <w:r w:rsidR="006C44D2">
        <w:t xml:space="preserve"> </w:t>
      </w:r>
      <w:r>
        <w:t>– Interview Sessions</w:t>
      </w:r>
      <w:bookmarkEnd w:id="10"/>
      <w:r w:rsidR="0075432E">
        <w:t xml:space="preserve"> &amp; Review Meeting</w:t>
      </w:r>
    </w:p>
    <w:p w14:paraId="1692F550" w14:textId="77777777" w:rsidR="000670DF" w:rsidRPr="000670DF" w:rsidRDefault="000670DF" w:rsidP="00EC0B68">
      <w:pPr>
        <w:pStyle w:val="BodyText"/>
      </w:pPr>
    </w:p>
    <w:tbl>
      <w:tblPr>
        <w:tblStyle w:val="TableGrid"/>
        <w:tblW w:w="0" w:type="auto"/>
        <w:tblLook w:val="00A0" w:firstRow="1" w:lastRow="0" w:firstColumn="1" w:lastColumn="0" w:noHBand="0" w:noVBand="0"/>
      </w:tblPr>
      <w:tblGrid>
        <w:gridCol w:w="1998"/>
        <w:gridCol w:w="3060"/>
        <w:gridCol w:w="3971"/>
      </w:tblGrid>
      <w:tr w:rsidR="00197486" w:rsidRPr="00383839" w14:paraId="72F608CD" w14:textId="77777777" w:rsidTr="00383839">
        <w:tc>
          <w:tcPr>
            <w:tcW w:w="1998" w:type="dxa"/>
            <w:shd w:val="clear" w:color="auto" w:fill="BFBFBF" w:themeFill="background1" w:themeFillShade="BF"/>
          </w:tcPr>
          <w:p w14:paraId="72F608CA" w14:textId="77777777" w:rsidR="00197486" w:rsidRPr="00383839" w:rsidRDefault="00197486">
            <w:pPr>
              <w:rPr>
                <w:rFonts w:cs="Arial"/>
                <w:b/>
                <w:sz w:val="18"/>
                <w:szCs w:val="18"/>
              </w:rPr>
            </w:pPr>
            <w:r w:rsidRPr="00383839">
              <w:rPr>
                <w:rFonts w:cs="Arial"/>
                <w:b/>
                <w:sz w:val="18"/>
                <w:szCs w:val="18"/>
              </w:rPr>
              <w:t>Date/Time</w:t>
            </w:r>
          </w:p>
        </w:tc>
        <w:tc>
          <w:tcPr>
            <w:tcW w:w="3060" w:type="dxa"/>
            <w:shd w:val="clear" w:color="auto" w:fill="BFBFBF" w:themeFill="background1" w:themeFillShade="BF"/>
          </w:tcPr>
          <w:p w14:paraId="72F608CB" w14:textId="77777777" w:rsidR="00197486" w:rsidRPr="00383839" w:rsidRDefault="00197486">
            <w:pPr>
              <w:rPr>
                <w:rFonts w:cs="Arial"/>
                <w:b/>
                <w:sz w:val="18"/>
                <w:szCs w:val="18"/>
              </w:rPr>
            </w:pPr>
            <w:r w:rsidRPr="00383839">
              <w:rPr>
                <w:rFonts w:cs="Arial"/>
                <w:b/>
                <w:sz w:val="18"/>
                <w:szCs w:val="18"/>
              </w:rPr>
              <w:t>Topic Area(s)</w:t>
            </w:r>
          </w:p>
        </w:tc>
        <w:tc>
          <w:tcPr>
            <w:tcW w:w="3971" w:type="dxa"/>
            <w:shd w:val="clear" w:color="auto" w:fill="BFBFBF" w:themeFill="background1" w:themeFillShade="BF"/>
          </w:tcPr>
          <w:p w14:paraId="72F608CC" w14:textId="77777777" w:rsidR="00197486" w:rsidRPr="00383839" w:rsidRDefault="00197486">
            <w:pPr>
              <w:rPr>
                <w:rFonts w:cs="Arial"/>
                <w:b/>
                <w:sz w:val="18"/>
                <w:szCs w:val="18"/>
              </w:rPr>
            </w:pPr>
            <w:r w:rsidRPr="00383839">
              <w:rPr>
                <w:rFonts w:cs="Arial"/>
                <w:b/>
                <w:sz w:val="18"/>
                <w:szCs w:val="18"/>
              </w:rPr>
              <w:t>Participants</w:t>
            </w:r>
          </w:p>
        </w:tc>
      </w:tr>
      <w:tr w:rsidR="00197486" w:rsidRPr="00383839" w14:paraId="72F608D1" w14:textId="77777777" w:rsidTr="000670DF">
        <w:tc>
          <w:tcPr>
            <w:tcW w:w="1998" w:type="dxa"/>
          </w:tcPr>
          <w:p w14:paraId="72F608CE" w14:textId="77777777" w:rsidR="00197486" w:rsidRPr="00383839" w:rsidRDefault="005D1CC8">
            <w:pPr>
              <w:rPr>
                <w:rFonts w:cs="Arial"/>
                <w:sz w:val="18"/>
                <w:szCs w:val="18"/>
              </w:rPr>
            </w:pPr>
            <w:r w:rsidRPr="00383839">
              <w:rPr>
                <w:rFonts w:cs="Arial"/>
                <w:sz w:val="18"/>
                <w:szCs w:val="18"/>
              </w:rPr>
              <w:t xml:space="preserve">10/10 </w:t>
            </w:r>
            <w:r w:rsidR="00B40C33" w:rsidRPr="00383839">
              <w:rPr>
                <w:rFonts w:cs="Arial"/>
                <w:sz w:val="18"/>
                <w:szCs w:val="18"/>
              </w:rPr>
              <w:t>8:00-8:30</w:t>
            </w:r>
          </w:p>
        </w:tc>
        <w:tc>
          <w:tcPr>
            <w:tcW w:w="3060" w:type="dxa"/>
          </w:tcPr>
          <w:p w14:paraId="72F608CF" w14:textId="77777777" w:rsidR="00197486" w:rsidRPr="00383839" w:rsidRDefault="00746735">
            <w:pPr>
              <w:rPr>
                <w:rFonts w:cs="Arial"/>
                <w:sz w:val="18"/>
                <w:szCs w:val="18"/>
              </w:rPr>
            </w:pPr>
            <w:r w:rsidRPr="00383839">
              <w:rPr>
                <w:rFonts w:cs="Arial"/>
                <w:sz w:val="18"/>
                <w:szCs w:val="18"/>
              </w:rPr>
              <w:t>Introductions and Expectations</w:t>
            </w:r>
          </w:p>
        </w:tc>
        <w:tc>
          <w:tcPr>
            <w:tcW w:w="3971" w:type="dxa"/>
          </w:tcPr>
          <w:p w14:paraId="72F608D0" w14:textId="77777777" w:rsidR="00197486" w:rsidRPr="00383839" w:rsidRDefault="00B40C33">
            <w:pPr>
              <w:rPr>
                <w:rFonts w:cs="Arial"/>
                <w:sz w:val="18"/>
                <w:szCs w:val="18"/>
              </w:rPr>
            </w:pPr>
            <w:r w:rsidRPr="00383839">
              <w:rPr>
                <w:rFonts w:cs="Arial"/>
                <w:sz w:val="18"/>
                <w:szCs w:val="18"/>
              </w:rPr>
              <w:t>Barbara Cormier, Peter Kipp, Ted Rainer</w:t>
            </w:r>
          </w:p>
        </w:tc>
      </w:tr>
      <w:tr w:rsidR="00197486" w:rsidRPr="00383839" w14:paraId="72F608D5" w14:textId="77777777" w:rsidTr="000670DF">
        <w:tc>
          <w:tcPr>
            <w:tcW w:w="1998" w:type="dxa"/>
          </w:tcPr>
          <w:p w14:paraId="72F608D2" w14:textId="77777777" w:rsidR="00197486" w:rsidRPr="00383839" w:rsidRDefault="005D1CC8">
            <w:pPr>
              <w:rPr>
                <w:rFonts w:cs="Arial"/>
                <w:sz w:val="18"/>
                <w:szCs w:val="18"/>
              </w:rPr>
            </w:pPr>
            <w:r w:rsidRPr="00383839">
              <w:rPr>
                <w:rFonts w:cs="Arial"/>
                <w:sz w:val="18"/>
                <w:szCs w:val="18"/>
              </w:rPr>
              <w:t xml:space="preserve">10/10 </w:t>
            </w:r>
            <w:r w:rsidR="00746735" w:rsidRPr="00383839">
              <w:rPr>
                <w:rFonts w:cs="Arial"/>
                <w:sz w:val="18"/>
                <w:szCs w:val="18"/>
              </w:rPr>
              <w:t>8:30-10:00</w:t>
            </w:r>
          </w:p>
        </w:tc>
        <w:tc>
          <w:tcPr>
            <w:tcW w:w="3060" w:type="dxa"/>
          </w:tcPr>
          <w:p w14:paraId="72F608D3" w14:textId="77777777" w:rsidR="00197486" w:rsidRPr="00383839" w:rsidRDefault="00746735">
            <w:pPr>
              <w:rPr>
                <w:rFonts w:cs="Arial"/>
                <w:sz w:val="18"/>
                <w:szCs w:val="18"/>
              </w:rPr>
            </w:pPr>
            <w:r w:rsidRPr="00383839">
              <w:rPr>
                <w:rFonts w:cs="Arial"/>
                <w:sz w:val="18"/>
                <w:szCs w:val="18"/>
              </w:rPr>
              <w:t>ITS Independent Review Deliverables</w:t>
            </w:r>
          </w:p>
        </w:tc>
        <w:tc>
          <w:tcPr>
            <w:tcW w:w="3971" w:type="dxa"/>
          </w:tcPr>
          <w:p w14:paraId="72F608D4" w14:textId="6FA898E9" w:rsidR="00197486" w:rsidRPr="00383839" w:rsidRDefault="00746735" w:rsidP="00973036">
            <w:pPr>
              <w:rPr>
                <w:rFonts w:cs="Arial"/>
                <w:sz w:val="18"/>
                <w:szCs w:val="18"/>
              </w:rPr>
            </w:pPr>
            <w:r w:rsidRPr="00383839">
              <w:rPr>
                <w:rFonts w:cs="Arial"/>
                <w:sz w:val="18"/>
                <w:szCs w:val="18"/>
              </w:rPr>
              <w:t xml:space="preserve">Richard Boes, </w:t>
            </w:r>
            <w:r w:rsidR="00973036" w:rsidRPr="00383839">
              <w:rPr>
                <w:rFonts w:cs="Arial"/>
                <w:sz w:val="18"/>
                <w:szCs w:val="18"/>
              </w:rPr>
              <w:t xml:space="preserve">Mary Peterson </w:t>
            </w:r>
            <w:r w:rsidR="00973036">
              <w:rPr>
                <w:rFonts w:cs="Arial"/>
                <w:sz w:val="18"/>
                <w:szCs w:val="18"/>
              </w:rPr>
              <w:t xml:space="preserve">, </w:t>
            </w:r>
            <w:r w:rsidRPr="00383839">
              <w:rPr>
                <w:rFonts w:cs="Arial"/>
                <w:sz w:val="18"/>
                <w:szCs w:val="18"/>
              </w:rPr>
              <w:t>Greg</w:t>
            </w:r>
            <w:r w:rsidR="008E1C52" w:rsidRPr="00383839">
              <w:rPr>
                <w:rFonts w:cs="Arial"/>
                <w:sz w:val="18"/>
                <w:szCs w:val="18"/>
              </w:rPr>
              <w:t>g</w:t>
            </w:r>
            <w:r w:rsidRPr="00383839">
              <w:rPr>
                <w:rFonts w:cs="Arial"/>
                <w:sz w:val="18"/>
                <w:szCs w:val="18"/>
              </w:rPr>
              <w:t xml:space="preserve"> Mousley, Barbara Cormier, </w:t>
            </w:r>
            <w:r w:rsidR="005D1CC8" w:rsidRPr="00383839">
              <w:rPr>
                <w:rFonts w:cs="Arial"/>
                <w:sz w:val="18"/>
                <w:szCs w:val="18"/>
              </w:rPr>
              <w:t>Ted Rainer</w:t>
            </w:r>
          </w:p>
        </w:tc>
      </w:tr>
      <w:tr w:rsidR="00197486" w:rsidRPr="00383839" w14:paraId="72F608D9" w14:textId="77777777" w:rsidTr="000670DF">
        <w:tc>
          <w:tcPr>
            <w:tcW w:w="1998" w:type="dxa"/>
          </w:tcPr>
          <w:p w14:paraId="72F608D6" w14:textId="77777777" w:rsidR="00197486" w:rsidRPr="00383839" w:rsidRDefault="005D1CC8">
            <w:pPr>
              <w:rPr>
                <w:rFonts w:cs="Arial"/>
                <w:sz w:val="18"/>
                <w:szCs w:val="18"/>
              </w:rPr>
            </w:pPr>
            <w:r w:rsidRPr="00383839">
              <w:rPr>
                <w:rFonts w:cs="Arial"/>
                <w:sz w:val="18"/>
                <w:szCs w:val="18"/>
              </w:rPr>
              <w:t xml:space="preserve">10/10 </w:t>
            </w:r>
            <w:r w:rsidR="00746735" w:rsidRPr="00383839">
              <w:rPr>
                <w:rFonts w:cs="Arial"/>
                <w:sz w:val="18"/>
                <w:szCs w:val="18"/>
              </w:rPr>
              <w:t>10:00-11:00</w:t>
            </w:r>
          </w:p>
        </w:tc>
        <w:tc>
          <w:tcPr>
            <w:tcW w:w="3060" w:type="dxa"/>
          </w:tcPr>
          <w:p w14:paraId="72F608D7" w14:textId="77777777" w:rsidR="00197486" w:rsidRPr="00383839" w:rsidRDefault="00746735">
            <w:pPr>
              <w:rPr>
                <w:rFonts w:cs="Arial"/>
                <w:sz w:val="18"/>
                <w:szCs w:val="18"/>
              </w:rPr>
            </w:pPr>
            <w:r w:rsidRPr="00383839">
              <w:rPr>
                <w:rFonts w:cs="Arial"/>
                <w:sz w:val="18"/>
                <w:szCs w:val="18"/>
              </w:rPr>
              <w:t>Compliance Risks</w:t>
            </w:r>
          </w:p>
        </w:tc>
        <w:tc>
          <w:tcPr>
            <w:tcW w:w="3971" w:type="dxa"/>
          </w:tcPr>
          <w:p w14:paraId="72F608D8" w14:textId="77777777" w:rsidR="00197486" w:rsidRPr="00383839" w:rsidRDefault="005D1CC8">
            <w:pPr>
              <w:rPr>
                <w:rFonts w:cs="Arial"/>
                <w:sz w:val="18"/>
                <w:szCs w:val="18"/>
              </w:rPr>
            </w:pPr>
            <w:r w:rsidRPr="00383839">
              <w:rPr>
                <w:rFonts w:cs="Arial"/>
                <w:sz w:val="18"/>
                <w:szCs w:val="18"/>
              </w:rPr>
              <w:t xml:space="preserve">Frank Partsch, James Whitehouse, Judy Lambert, Ted Rainer </w:t>
            </w:r>
          </w:p>
        </w:tc>
      </w:tr>
      <w:tr w:rsidR="00197486" w:rsidRPr="00383839" w14:paraId="72F608DD" w14:textId="77777777" w:rsidTr="000670DF">
        <w:tc>
          <w:tcPr>
            <w:tcW w:w="1998" w:type="dxa"/>
          </w:tcPr>
          <w:p w14:paraId="72F608DA" w14:textId="77777777" w:rsidR="00197486" w:rsidRPr="00383839" w:rsidRDefault="005D1CC8">
            <w:pPr>
              <w:rPr>
                <w:rFonts w:cs="Arial"/>
                <w:sz w:val="18"/>
                <w:szCs w:val="18"/>
              </w:rPr>
            </w:pPr>
            <w:r w:rsidRPr="00383839">
              <w:rPr>
                <w:rFonts w:cs="Arial"/>
                <w:sz w:val="18"/>
                <w:szCs w:val="18"/>
              </w:rPr>
              <w:t>10/10 11:00-1:00</w:t>
            </w:r>
          </w:p>
        </w:tc>
        <w:tc>
          <w:tcPr>
            <w:tcW w:w="3060" w:type="dxa"/>
          </w:tcPr>
          <w:p w14:paraId="72F608DB" w14:textId="77777777" w:rsidR="00197486" w:rsidRPr="00383839" w:rsidRDefault="005D1CC8">
            <w:pPr>
              <w:rPr>
                <w:rFonts w:cs="Arial"/>
                <w:sz w:val="18"/>
                <w:szCs w:val="18"/>
              </w:rPr>
            </w:pPr>
            <w:r w:rsidRPr="00383839">
              <w:rPr>
                <w:rFonts w:cs="Arial"/>
                <w:sz w:val="18"/>
                <w:szCs w:val="18"/>
              </w:rPr>
              <w:t>Taxpayer Services Risks</w:t>
            </w:r>
          </w:p>
        </w:tc>
        <w:tc>
          <w:tcPr>
            <w:tcW w:w="3971" w:type="dxa"/>
          </w:tcPr>
          <w:p w14:paraId="72F608DC" w14:textId="77777777" w:rsidR="00197486" w:rsidRPr="00383839" w:rsidRDefault="005D1CC8">
            <w:pPr>
              <w:rPr>
                <w:rFonts w:cs="Arial"/>
                <w:sz w:val="18"/>
                <w:szCs w:val="18"/>
              </w:rPr>
            </w:pPr>
            <w:r w:rsidRPr="00383839">
              <w:rPr>
                <w:rFonts w:cs="Arial"/>
                <w:sz w:val="18"/>
                <w:szCs w:val="18"/>
              </w:rPr>
              <w:t>Douglas Farnham, John Demeter, Ted Rainer</w:t>
            </w:r>
          </w:p>
        </w:tc>
      </w:tr>
      <w:tr w:rsidR="00197486" w:rsidRPr="00383839" w14:paraId="72F608E1" w14:textId="77777777" w:rsidTr="000670DF">
        <w:tc>
          <w:tcPr>
            <w:tcW w:w="1998" w:type="dxa"/>
          </w:tcPr>
          <w:p w14:paraId="72F608DE" w14:textId="77777777" w:rsidR="00197486" w:rsidRPr="00383839" w:rsidRDefault="005D1CC8">
            <w:pPr>
              <w:rPr>
                <w:rFonts w:cs="Arial"/>
                <w:sz w:val="18"/>
                <w:szCs w:val="18"/>
              </w:rPr>
            </w:pPr>
            <w:r w:rsidRPr="00383839">
              <w:rPr>
                <w:rFonts w:cs="Arial"/>
                <w:sz w:val="18"/>
                <w:szCs w:val="18"/>
              </w:rPr>
              <w:t>10/10 1:30-3:00</w:t>
            </w:r>
          </w:p>
        </w:tc>
        <w:tc>
          <w:tcPr>
            <w:tcW w:w="3060" w:type="dxa"/>
          </w:tcPr>
          <w:p w14:paraId="72F608DF" w14:textId="77777777" w:rsidR="00197486" w:rsidRPr="00383839" w:rsidRDefault="005D1CC8">
            <w:pPr>
              <w:rPr>
                <w:rFonts w:cs="Arial"/>
                <w:sz w:val="18"/>
                <w:szCs w:val="18"/>
              </w:rPr>
            </w:pPr>
            <w:r w:rsidRPr="00383839">
              <w:rPr>
                <w:rFonts w:cs="Arial"/>
                <w:sz w:val="18"/>
                <w:szCs w:val="18"/>
              </w:rPr>
              <w:t>Information System Risks</w:t>
            </w:r>
          </w:p>
        </w:tc>
        <w:tc>
          <w:tcPr>
            <w:tcW w:w="3971" w:type="dxa"/>
          </w:tcPr>
          <w:p w14:paraId="72F608E0" w14:textId="77777777" w:rsidR="00197486" w:rsidRPr="00383839" w:rsidRDefault="005D1CC8">
            <w:pPr>
              <w:rPr>
                <w:rFonts w:cs="Arial"/>
                <w:sz w:val="18"/>
                <w:szCs w:val="18"/>
              </w:rPr>
            </w:pPr>
            <w:r w:rsidRPr="00383839">
              <w:rPr>
                <w:rFonts w:cs="Arial"/>
                <w:sz w:val="18"/>
                <w:szCs w:val="18"/>
              </w:rPr>
              <w:t>Tom Buonomo, Kelly Reagan, Tanya Perry, Gre</w:t>
            </w:r>
            <w:r w:rsidR="008E1C52" w:rsidRPr="00383839">
              <w:rPr>
                <w:rFonts w:cs="Arial"/>
                <w:sz w:val="18"/>
                <w:szCs w:val="18"/>
              </w:rPr>
              <w:t>g</w:t>
            </w:r>
            <w:r w:rsidRPr="00383839">
              <w:rPr>
                <w:rFonts w:cs="Arial"/>
                <w:sz w:val="18"/>
                <w:szCs w:val="18"/>
              </w:rPr>
              <w:t>g Mousley, Ted Rainer</w:t>
            </w:r>
          </w:p>
        </w:tc>
      </w:tr>
      <w:tr w:rsidR="005D1CC8" w:rsidRPr="00383839" w14:paraId="72F608E5" w14:textId="77777777" w:rsidTr="000670DF">
        <w:tc>
          <w:tcPr>
            <w:tcW w:w="1998" w:type="dxa"/>
          </w:tcPr>
          <w:p w14:paraId="72F608E2" w14:textId="77777777" w:rsidR="005D1CC8" w:rsidRPr="00383839" w:rsidRDefault="005D1CC8">
            <w:pPr>
              <w:rPr>
                <w:rFonts w:cs="Arial"/>
                <w:sz w:val="18"/>
                <w:szCs w:val="18"/>
              </w:rPr>
            </w:pPr>
            <w:r w:rsidRPr="00383839">
              <w:rPr>
                <w:rFonts w:cs="Arial"/>
                <w:sz w:val="18"/>
                <w:szCs w:val="18"/>
              </w:rPr>
              <w:t>10/10 3:15-4:30</w:t>
            </w:r>
          </w:p>
        </w:tc>
        <w:tc>
          <w:tcPr>
            <w:tcW w:w="3060" w:type="dxa"/>
          </w:tcPr>
          <w:p w14:paraId="72F608E3" w14:textId="77777777" w:rsidR="005D1CC8" w:rsidRPr="00383839" w:rsidRDefault="005D1CC8">
            <w:pPr>
              <w:rPr>
                <w:rFonts w:cs="Arial"/>
                <w:sz w:val="18"/>
                <w:szCs w:val="18"/>
              </w:rPr>
            </w:pPr>
            <w:r w:rsidRPr="00383839">
              <w:rPr>
                <w:rFonts w:cs="Arial"/>
                <w:sz w:val="18"/>
                <w:szCs w:val="18"/>
              </w:rPr>
              <w:t>Cost Analysis Model Review</w:t>
            </w:r>
          </w:p>
        </w:tc>
        <w:tc>
          <w:tcPr>
            <w:tcW w:w="3971" w:type="dxa"/>
          </w:tcPr>
          <w:p w14:paraId="72F608E4" w14:textId="77777777" w:rsidR="005D1CC8" w:rsidRPr="00383839" w:rsidRDefault="005D1CC8">
            <w:pPr>
              <w:rPr>
                <w:rFonts w:cs="Arial"/>
                <w:sz w:val="18"/>
                <w:szCs w:val="18"/>
              </w:rPr>
            </w:pPr>
            <w:r w:rsidRPr="00383839">
              <w:rPr>
                <w:rFonts w:cs="Arial"/>
                <w:sz w:val="18"/>
                <w:szCs w:val="18"/>
              </w:rPr>
              <w:t>Gre</w:t>
            </w:r>
            <w:r w:rsidR="008E1C52" w:rsidRPr="00383839">
              <w:rPr>
                <w:rFonts w:cs="Arial"/>
                <w:sz w:val="18"/>
                <w:szCs w:val="18"/>
              </w:rPr>
              <w:t>g</w:t>
            </w:r>
            <w:r w:rsidRPr="00383839">
              <w:rPr>
                <w:rFonts w:cs="Arial"/>
                <w:sz w:val="18"/>
                <w:szCs w:val="18"/>
              </w:rPr>
              <w:t>g Mousley, Ted Rainer</w:t>
            </w:r>
          </w:p>
        </w:tc>
      </w:tr>
      <w:tr w:rsidR="005D1CC8" w:rsidRPr="00383839" w14:paraId="72F608E9" w14:textId="77777777" w:rsidTr="000670DF">
        <w:tc>
          <w:tcPr>
            <w:tcW w:w="1998" w:type="dxa"/>
          </w:tcPr>
          <w:p w14:paraId="72F608E6" w14:textId="77777777" w:rsidR="005D1CC8" w:rsidRPr="00383839" w:rsidRDefault="005D1CC8">
            <w:pPr>
              <w:rPr>
                <w:rFonts w:cs="Arial"/>
                <w:sz w:val="18"/>
                <w:szCs w:val="18"/>
              </w:rPr>
            </w:pPr>
            <w:r w:rsidRPr="00383839">
              <w:rPr>
                <w:rFonts w:cs="Arial"/>
                <w:sz w:val="18"/>
                <w:szCs w:val="18"/>
              </w:rPr>
              <w:t>10/11 8:30-9:30</w:t>
            </w:r>
          </w:p>
        </w:tc>
        <w:tc>
          <w:tcPr>
            <w:tcW w:w="3060" w:type="dxa"/>
          </w:tcPr>
          <w:p w14:paraId="72F608E7" w14:textId="77777777" w:rsidR="005D1CC8" w:rsidRPr="00383839" w:rsidRDefault="005D1CC8">
            <w:pPr>
              <w:rPr>
                <w:rFonts w:cs="Arial"/>
                <w:sz w:val="18"/>
                <w:szCs w:val="18"/>
              </w:rPr>
            </w:pPr>
            <w:r w:rsidRPr="00383839">
              <w:rPr>
                <w:rFonts w:cs="Arial"/>
                <w:sz w:val="18"/>
                <w:szCs w:val="18"/>
              </w:rPr>
              <w:t>Legal</w:t>
            </w:r>
            <w:r w:rsidR="00A806AA" w:rsidRPr="00383839">
              <w:rPr>
                <w:rFonts w:cs="Arial"/>
                <w:sz w:val="18"/>
                <w:szCs w:val="18"/>
              </w:rPr>
              <w:t xml:space="preserve"> Risks</w:t>
            </w:r>
          </w:p>
        </w:tc>
        <w:tc>
          <w:tcPr>
            <w:tcW w:w="3971" w:type="dxa"/>
          </w:tcPr>
          <w:p w14:paraId="72F608E8" w14:textId="77777777" w:rsidR="005D1CC8" w:rsidRPr="00383839" w:rsidRDefault="005D1CC8">
            <w:pPr>
              <w:rPr>
                <w:rFonts w:cs="Arial"/>
                <w:sz w:val="18"/>
                <w:szCs w:val="18"/>
              </w:rPr>
            </w:pPr>
            <w:r w:rsidRPr="00383839">
              <w:rPr>
                <w:rFonts w:cs="Arial"/>
                <w:sz w:val="18"/>
                <w:szCs w:val="18"/>
              </w:rPr>
              <w:t>Jaye Johson, Ted Rainer</w:t>
            </w:r>
          </w:p>
        </w:tc>
      </w:tr>
      <w:tr w:rsidR="005D1CC8" w:rsidRPr="00383839" w14:paraId="72F608ED" w14:textId="77777777" w:rsidTr="000670DF">
        <w:tc>
          <w:tcPr>
            <w:tcW w:w="1998" w:type="dxa"/>
          </w:tcPr>
          <w:p w14:paraId="72F608EA" w14:textId="77777777" w:rsidR="005D1CC8" w:rsidRPr="00383839" w:rsidRDefault="005D1CC8">
            <w:pPr>
              <w:rPr>
                <w:rFonts w:cs="Arial"/>
                <w:sz w:val="18"/>
                <w:szCs w:val="18"/>
              </w:rPr>
            </w:pPr>
            <w:r w:rsidRPr="00383839">
              <w:rPr>
                <w:rFonts w:cs="Arial"/>
                <w:sz w:val="18"/>
                <w:szCs w:val="18"/>
              </w:rPr>
              <w:t>10/11 9:30-10:30</w:t>
            </w:r>
          </w:p>
        </w:tc>
        <w:tc>
          <w:tcPr>
            <w:tcW w:w="3060" w:type="dxa"/>
          </w:tcPr>
          <w:p w14:paraId="72F608EB" w14:textId="77777777" w:rsidR="005D1CC8" w:rsidRPr="00383839" w:rsidRDefault="005D1CC8">
            <w:pPr>
              <w:rPr>
                <w:rFonts w:cs="Arial"/>
                <w:sz w:val="18"/>
                <w:szCs w:val="18"/>
              </w:rPr>
            </w:pPr>
            <w:r w:rsidRPr="00383839">
              <w:rPr>
                <w:rFonts w:cs="Arial"/>
                <w:sz w:val="18"/>
                <w:szCs w:val="18"/>
              </w:rPr>
              <w:t>Revenue Accounting</w:t>
            </w:r>
            <w:r w:rsidR="00A806AA" w:rsidRPr="00383839">
              <w:rPr>
                <w:rFonts w:cs="Arial"/>
                <w:sz w:val="18"/>
                <w:szCs w:val="18"/>
              </w:rPr>
              <w:t xml:space="preserve"> Risks</w:t>
            </w:r>
          </w:p>
        </w:tc>
        <w:tc>
          <w:tcPr>
            <w:tcW w:w="3971" w:type="dxa"/>
          </w:tcPr>
          <w:p w14:paraId="72F608EC" w14:textId="77777777" w:rsidR="005D1CC8" w:rsidRPr="00383839" w:rsidRDefault="005D1CC8" w:rsidP="008E6146">
            <w:pPr>
              <w:rPr>
                <w:rFonts w:cs="Arial"/>
                <w:sz w:val="18"/>
                <w:szCs w:val="18"/>
              </w:rPr>
            </w:pPr>
            <w:r w:rsidRPr="00383839">
              <w:rPr>
                <w:rFonts w:cs="Arial"/>
                <w:sz w:val="18"/>
                <w:szCs w:val="18"/>
              </w:rPr>
              <w:t>Valerie Rickert, Alexa Lewis, Ted Rainer</w:t>
            </w:r>
          </w:p>
        </w:tc>
      </w:tr>
      <w:tr w:rsidR="005D1CC8" w:rsidRPr="00383839" w14:paraId="72F608F1" w14:textId="77777777" w:rsidTr="000670DF">
        <w:tc>
          <w:tcPr>
            <w:tcW w:w="1998" w:type="dxa"/>
          </w:tcPr>
          <w:p w14:paraId="72F608EE" w14:textId="77777777" w:rsidR="005D1CC8" w:rsidRPr="00383839" w:rsidRDefault="00A806AA">
            <w:pPr>
              <w:rPr>
                <w:rFonts w:cs="Arial"/>
                <w:sz w:val="18"/>
                <w:szCs w:val="18"/>
              </w:rPr>
            </w:pPr>
            <w:r w:rsidRPr="00383839">
              <w:rPr>
                <w:rFonts w:cs="Arial"/>
                <w:sz w:val="18"/>
                <w:szCs w:val="18"/>
              </w:rPr>
              <w:t>10/11 10:30-11:00</w:t>
            </w:r>
          </w:p>
        </w:tc>
        <w:tc>
          <w:tcPr>
            <w:tcW w:w="3060" w:type="dxa"/>
          </w:tcPr>
          <w:p w14:paraId="72F608EF" w14:textId="77777777" w:rsidR="005D1CC8" w:rsidRPr="00383839" w:rsidRDefault="00A806AA">
            <w:pPr>
              <w:rPr>
                <w:rFonts w:cs="Arial"/>
                <w:sz w:val="18"/>
                <w:szCs w:val="18"/>
              </w:rPr>
            </w:pPr>
            <w:r w:rsidRPr="00383839">
              <w:rPr>
                <w:rFonts w:cs="Arial"/>
                <w:sz w:val="18"/>
                <w:szCs w:val="18"/>
              </w:rPr>
              <w:t>Enterprise Architecture Risks</w:t>
            </w:r>
          </w:p>
        </w:tc>
        <w:tc>
          <w:tcPr>
            <w:tcW w:w="3971" w:type="dxa"/>
          </w:tcPr>
          <w:p w14:paraId="72F608F0" w14:textId="77777777" w:rsidR="005D1CC8" w:rsidRPr="00383839" w:rsidRDefault="00A806AA">
            <w:pPr>
              <w:rPr>
                <w:rFonts w:cs="Arial"/>
                <w:sz w:val="18"/>
                <w:szCs w:val="18"/>
              </w:rPr>
            </w:pPr>
            <w:r w:rsidRPr="00383839">
              <w:rPr>
                <w:rFonts w:cs="Arial"/>
                <w:sz w:val="18"/>
                <w:szCs w:val="18"/>
              </w:rPr>
              <w:t>Mike Morey, Ted Rainer</w:t>
            </w:r>
          </w:p>
        </w:tc>
      </w:tr>
      <w:tr w:rsidR="005D1CC8" w:rsidRPr="00383839" w14:paraId="72F608F5" w14:textId="77777777" w:rsidTr="000670DF">
        <w:tc>
          <w:tcPr>
            <w:tcW w:w="1998" w:type="dxa"/>
          </w:tcPr>
          <w:p w14:paraId="72F608F2" w14:textId="77777777" w:rsidR="005D1CC8" w:rsidRPr="00383839" w:rsidRDefault="00A806AA">
            <w:pPr>
              <w:rPr>
                <w:rFonts w:cs="Arial"/>
                <w:sz w:val="18"/>
                <w:szCs w:val="18"/>
              </w:rPr>
            </w:pPr>
            <w:r w:rsidRPr="00383839">
              <w:rPr>
                <w:rFonts w:cs="Arial"/>
                <w:sz w:val="18"/>
                <w:szCs w:val="18"/>
              </w:rPr>
              <w:t>10/11 11:00-1:00</w:t>
            </w:r>
          </w:p>
        </w:tc>
        <w:tc>
          <w:tcPr>
            <w:tcW w:w="3060" w:type="dxa"/>
          </w:tcPr>
          <w:p w14:paraId="72F608F3" w14:textId="77777777" w:rsidR="005D1CC8" w:rsidRPr="00383839" w:rsidRDefault="00A806AA">
            <w:pPr>
              <w:rPr>
                <w:rFonts w:cs="Arial"/>
                <w:sz w:val="18"/>
                <w:szCs w:val="18"/>
              </w:rPr>
            </w:pPr>
            <w:r w:rsidRPr="00383839">
              <w:rPr>
                <w:rFonts w:cs="Arial"/>
                <w:sz w:val="18"/>
                <w:szCs w:val="18"/>
              </w:rPr>
              <w:t>Taxpayer Services Risks (continued)</w:t>
            </w:r>
          </w:p>
        </w:tc>
        <w:tc>
          <w:tcPr>
            <w:tcW w:w="3971" w:type="dxa"/>
          </w:tcPr>
          <w:p w14:paraId="72F608F4" w14:textId="77777777" w:rsidR="005D1CC8" w:rsidRPr="00383839" w:rsidRDefault="00A806AA">
            <w:pPr>
              <w:rPr>
                <w:rFonts w:cs="Arial"/>
                <w:sz w:val="18"/>
                <w:szCs w:val="18"/>
              </w:rPr>
            </w:pPr>
            <w:r w:rsidRPr="00383839">
              <w:rPr>
                <w:rFonts w:cs="Arial"/>
                <w:sz w:val="18"/>
                <w:szCs w:val="18"/>
              </w:rPr>
              <w:t>Douglas Farnham, John Demeter, Ted Rainer</w:t>
            </w:r>
          </w:p>
        </w:tc>
      </w:tr>
      <w:tr w:rsidR="00A806AA" w:rsidRPr="00383839" w14:paraId="72F608F9" w14:textId="77777777" w:rsidTr="000670DF">
        <w:tc>
          <w:tcPr>
            <w:tcW w:w="1998" w:type="dxa"/>
          </w:tcPr>
          <w:p w14:paraId="72F608F6" w14:textId="77777777" w:rsidR="00A806AA" w:rsidRPr="00383839" w:rsidRDefault="00A806AA">
            <w:pPr>
              <w:rPr>
                <w:rFonts w:cs="Arial"/>
                <w:sz w:val="18"/>
                <w:szCs w:val="18"/>
              </w:rPr>
            </w:pPr>
            <w:r w:rsidRPr="00383839">
              <w:rPr>
                <w:rFonts w:cs="Arial"/>
                <w:sz w:val="18"/>
                <w:szCs w:val="18"/>
              </w:rPr>
              <w:t>10/11 1:00-2:30</w:t>
            </w:r>
          </w:p>
        </w:tc>
        <w:tc>
          <w:tcPr>
            <w:tcW w:w="3060" w:type="dxa"/>
          </w:tcPr>
          <w:p w14:paraId="72F608F7" w14:textId="77777777" w:rsidR="00A806AA" w:rsidRPr="00383839" w:rsidRDefault="00A806AA">
            <w:pPr>
              <w:rPr>
                <w:rFonts w:cs="Arial"/>
                <w:sz w:val="18"/>
                <w:szCs w:val="18"/>
              </w:rPr>
            </w:pPr>
            <w:r w:rsidRPr="00383839">
              <w:rPr>
                <w:rFonts w:cs="Arial"/>
                <w:sz w:val="18"/>
                <w:szCs w:val="18"/>
              </w:rPr>
              <w:t>Compliance Risks (continued)</w:t>
            </w:r>
          </w:p>
        </w:tc>
        <w:tc>
          <w:tcPr>
            <w:tcW w:w="3971" w:type="dxa"/>
          </w:tcPr>
          <w:p w14:paraId="72F608F8" w14:textId="77777777" w:rsidR="00A806AA" w:rsidRPr="00383839" w:rsidRDefault="00A806AA">
            <w:pPr>
              <w:rPr>
                <w:rFonts w:cs="Arial"/>
                <w:sz w:val="18"/>
                <w:szCs w:val="18"/>
              </w:rPr>
            </w:pPr>
            <w:r w:rsidRPr="00383839">
              <w:rPr>
                <w:rFonts w:cs="Arial"/>
                <w:sz w:val="18"/>
                <w:szCs w:val="18"/>
              </w:rPr>
              <w:t xml:space="preserve">Frank Partsch, James Whitehouse, Judy Lambert, Ted Rainer </w:t>
            </w:r>
          </w:p>
        </w:tc>
      </w:tr>
      <w:tr w:rsidR="005D1CC8" w:rsidRPr="00383839" w14:paraId="72F608FD" w14:textId="77777777" w:rsidTr="000670DF">
        <w:tc>
          <w:tcPr>
            <w:tcW w:w="1998" w:type="dxa"/>
          </w:tcPr>
          <w:p w14:paraId="72F608FA" w14:textId="77777777" w:rsidR="005D1CC8" w:rsidRPr="00383839" w:rsidRDefault="00A806AA">
            <w:pPr>
              <w:rPr>
                <w:rFonts w:cs="Arial"/>
                <w:sz w:val="18"/>
                <w:szCs w:val="18"/>
              </w:rPr>
            </w:pPr>
            <w:r w:rsidRPr="00383839">
              <w:rPr>
                <w:rFonts w:cs="Arial"/>
                <w:sz w:val="18"/>
                <w:szCs w:val="18"/>
              </w:rPr>
              <w:t>10/11 2:45-4:30</w:t>
            </w:r>
          </w:p>
        </w:tc>
        <w:tc>
          <w:tcPr>
            <w:tcW w:w="3060" w:type="dxa"/>
          </w:tcPr>
          <w:p w14:paraId="72F608FB" w14:textId="77777777" w:rsidR="005D1CC8" w:rsidRPr="00383839" w:rsidRDefault="00A806AA">
            <w:pPr>
              <w:rPr>
                <w:rFonts w:cs="Arial"/>
                <w:sz w:val="18"/>
                <w:szCs w:val="18"/>
              </w:rPr>
            </w:pPr>
            <w:r w:rsidRPr="00383839">
              <w:rPr>
                <w:rFonts w:cs="Arial"/>
                <w:sz w:val="18"/>
                <w:szCs w:val="18"/>
              </w:rPr>
              <w:t>Revenue Reporting Risks</w:t>
            </w:r>
          </w:p>
        </w:tc>
        <w:tc>
          <w:tcPr>
            <w:tcW w:w="3971" w:type="dxa"/>
          </w:tcPr>
          <w:p w14:paraId="72F608FC" w14:textId="77777777" w:rsidR="005D1CC8" w:rsidRPr="00383839" w:rsidRDefault="00A806AA">
            <w:pPr>
              <w:rPr>
                <w:rFonts w:cs="Arial"/>
                <w:sz w:val="18"/>
                <w:szCs w:val="18"/>
              </w:rPr>
            </w:pPr>
            <w:r w:rsidRPr="00383839">
              <w:rPr>
                <w:rFonts w:cs="Arial"/>
                <w:sz w:val="18"/>
                <w:szCs w:val="18"/>
              </w:rPr>
              <w:t xml:space="preserve">Rebecca Sameroff, </w:t>
            </w:r>
            <w:r w:rsidR="008E6146" w:rsidRPr="00383839">
              <w:rPr>
                <w:rFonts w:cs="Arial"/>
                <w:sz w:val="18"/>
                <w:szCs w:val="18"/>
              </w:rPr>
              <w:t>Maribeth Spellman, Victor Gauto, Ted Rainer</w:t>
            </w:r>
          </w:p>
        </w:tc>
      </w:tr>
      <w:tr w:rsidR="0075432E" w:rsidRPr="00383839" w14:paraId="0B1C58F2" w14:textId="77777777" w:rsidTr="000670DF">
        <w:tc>
          <w:tcPr>
            <w:tcW w:w="1998" w:type="dxa"/>
          </w:tcPr>
          <w:p w14:paraId="023CAABA" w14:textId="11FBDC25" w:rsidR="0075432E" w:rsidRPr="00383839" w:rsidRDefault="0075432E">
            <w:pPr>
              <w:rPr>
                <w:rFonts w:cs="Arial"/>
                <w:sz w:val="18"/>
                <w:szCs w:val="18"/>
              </w:rPr>
            </w:pPr>
            <w:r>
              <w:rPr>
                <w:rFonts w:cs="Arial"/>
                <w:sz w:val="18"/>
                <w:szCs w:val="18"/>
              </w:rPr>
              <w:t>12/12 9:30-2:00</w:t>
            </w:r>
          </w:p>
        </w:tc>
        <w:tc>
          <w:tcPr>
            <w:tcW w:w="3060" w:type="dxa"/>
          </w:tcPr>
          <w:p w14:paraId="6C6E63BB" w14:textId="0639393B" w:rsidR="0075432E" w:rsidRPr="00383839" w:rsidRDefault="0075432E">
            <w:pPr>
              <w:rPr>
                <w:rFonts w:cs="Arial"/>
                <w:sz w:val="18"/>
                <w:szCs w:val="18"/>
              </w:rPr>
            </w:pPr>
            <w:r>
              <w:rPr>
                <w:rFonts w:cs="Arial"/>
                <w:sz w:val="18"/>
                <w:szCs w:val="18"/>
              </w:rPr>
              <w:t>DRAFT Independent Review Meeting</w:t>
            </w:r>
          </w:p>
        </w:tc>
        <w:tc>
          <w:tcPr>
            <w:tcW w:w="3971" w:type="dxa"/>
          </w:tcPr>
          <w:p w14:paraId="61F4E5AF" w14:textId="5C555257" w:rsidR="0075432E" w:rsidRPr="00383839" w:rsidRDefault="0075432E">
            <w:pPr>
              <w:rPr>
                <w:rFonts w:cs="Arial"/>
                <w:sz w:val="18"/>
                <w:szCs w:val="18"/>
              </w:rPr>
            </w:pPr>
            <w:r>
              <w:rPr>
                <w:rFonts w:cs="Arial"/>
                <w:sz w:val="18"/>
                <w:szCs w:val="18"/>
              </w:rPr>
              <w:t>Richard Boes, Mary Peterson, Gregg Mousley, Michael Morey, Darwin Thompson, Barbara Cormier, Frank Nestore</w:t>
            </w:r>
          </w:p>
        </w:tc>
      </w:tr>
    </w:tbl>
    <w:p w14:paraId="72F60900" w14:textId="77777777" w:rsidR="00CD57B5" w:rsidRDefault="00A14529" w:rsidP="00A14529">
      <w:pPr>
        <w:pStyle w:val="Heading2"/>
      </w:pPr>
      <w:bookmarkStart w:id="11" w:name="_Toc377313531"/>
      <w:r>
        <w:t>ITS Project Background</w:t>
      </w:r>
      <w:bookmarkEnd w:id="11"/>
    </w:p>
    <w:p w14:paraId="72F60901" w14:textId="77777777" w:rsidR="00F922D1" w:rsidRDefault="003A11CA" w:rsidP="000670DF">
      <w:pPr>
        <w:pStyle w:val="BodyText"/>
      </w:pPr>
      <w:r w:rsidRPr="001B6965">
        <w:t>The notion of an I</w:t>
      </w:r>
      <w:r w:rsidR="00C63321">
        <w:t xml:space="preserve">ntegrated </w:t>
      </w:r>
      <w:r w:rsidRPr="001B6965">
        <w:t>T</w:t>
      </w:r>
      <w:r w:rsidR="00C63321">
        <w:t xml:space="preserve">ax </w:t>
      </w:r>
      <w:r w:rsidRPr="001B6965">
        <w:t>S</w:t>
      </w:r>
      <w:r w:rsidR="00C63321">
        <w:t>ystem (ITS)</w:t>
      </w:r>
      <w:r w:rsidRPr="001B6965">
        <w:t xml:space="preserve"> in Vermont is not new. The VDT took the first steps toward an ITS in 1998</w:t>
      </w:r>
      <w:r w:rsidR="001B6965">
        <w:t xml:space="preserve"> </w:t>
      </w:r>
      <w:r w:rsidRPr="001B6965">
        <w:t>when it began the implementation of an Advantage Revenue system for processing trust taxes</w:t>
      </w:r>
      <w:r w:rsidR="00087032">
        <w:t xml:space="preserve"> </w:t>
      </w:r>
      <w:r w:rsidRPr="001B6965">
        <w:t>(sales/use, rooms/meals and withholding) and successfully installed the Computer Aided</w:t>
      </w:r>
      <w:r w:rsidR="001B6965">
        <w:t xml:space="preserve"> </w:t>
      </w:r>
      <w:r w:rsidRPr="001B6965">
        <w:t>Collections System for Government (CACS-G) system. CACS-G is used by the VDT to help with</w:t>
      </w:r>
      <w:r w:rsidR="001B6965">
        <w:t xml:space="preserve"> </w:t>
      </w:r>
      <w:r w:rsidRPr="001B6965">
        <w:t>collections of payments that are more than thirty days past due. The Advantage Revenue</w:t>
      </w:r>
      <w:r w:rsidR="001B6965">
        <w:t xml:space="preserve"> </w:t>
      </w:r>
      <w:r w:rsidRPr="001B6965">
        <w:t>implementation was finalized in 2001 despite problems with implementation with the income tax.</w:t>
      </w:r>
      <w:r w:rsidR="001B6965">
        <w:t xml:space="preserve"> </w:t>
      </w:r>
    </w:p>
    <w:p w14:paraId="72F60903" w14:textId="77777777" w:rsidR="00F922D1" w:rsidRDefault="003A11CA" w:rsidP="000670DF">
      <w:pPr>
        <w:pStyle w:val="BodyText"/>
      </w:pPr>
      <w:r w:rsidRPr="001B6965">
        <w:t>VDT</w:t>
      </w:r>
      <w:r w:rsidR="00F922D1">
        <w:t>, however,</w:t>
      </w:r>
      <w:r w:rsidRPr="001B6965">
        <w:t xml:space="preserve"> opted not to integrate any additional taxes into Advantage Revenue.</w:t>
      </w:r>
      <w:r w:rsidR="001B6965">
        <w:t xml:space="preserve"> </w:t>
      </w:r>
      <w:r w:rsidRPr="001B6965">
        <w:t>In late 2007, the VDT developed a bid for a new ITS and CGI, Inc. won the contract with its</w:t>
      </w:r>
      <w:r w:rsidR="001B6965">
        <w:t xml:space="preserve"> </w:t>
      </w:r>
      <w:r w:rsidRPr="001B6965">
        <w:t>proposal to install the new ETM product from Oracle in January 2008. VDT and CGI agreed to</w:t>
      </w:r>
      <w:r w:rsidR="001B6965">
        <w:t xml:space="preserve"> </w:t>
      </w:r>
      <w:r w:rsidRPr="001B6965">
        <w:t>implement corporate, business income tax, property transfer and fuel gross receipts taxes</w:t>
      </w:r>
      <w:r w:rsidR="001B6965">
        <w:t xml:space="preserve"> </w:t>
      </w:r>
      <w:r w:rsidRPr="001B6965">
        <w:t>(which at that time was on the legacy mainframe system), and the CACS-G collection system</w:t>
      </w:r>
      <w:r w:rsidR="001B6965">
        <w:t xml:space="preserve"> </w:t>
      </w:r>
      <w:r w:rsidRPr="001B6965">
        <w:t>into the new ETM system. The ETM system went live with these taxes, as well as billing and</w:t>
      </w:r>
      <w:r w:rsidR="001B6965">
        <w:t xml:space="preserve"> </w:t>
      </w:r>
      <w:r w:rsidRPr="001B6965">
        <w:t>collections, in August 2010.</w:t>
      </w:r>
      <w:r w:rsidR="001B6965">
        <w:t xml:space="preserve"> </w:t>
      </w:r>
    </w:p>
    <w:p w14:paraId="72F60905" w14:textId="77777777" w:rsidR="00187014" w:rsidRDefault="003A11CA" w:rsidP="000670DF">
      <w:pPr>
        <w:pStyle w:val="BodyText"/>
      </w:pPr>
      <w:r w:rsidRPr="001B6965">
        <w:t>ETM has been challenging for VDT. Business users have experienced high processing times,</w:t>
      </w:r>
      <w:r w:rsidR="001B6965">
        <w:t xml:space="preserve"> </w:t>
      </w:r>
      <w:r w:rsidRPr="001B6965">
        <w:t>and cited unintuitive design and an unfriendly user experience with the software. ETM did speed</w:t>
      </w:r>
      <w:r w:rsidR="001B6965">
        <w:t xml:space="preserve"> </w:t>
      </w:r>
      <w:r w:rsidRPr="001B6965">
        <w:t>the processing cycle for taxes from the prior mainframe and manual processes (for example,</w:t>
      </w:r>
      <w:r w:rsidR="001B6965">
        <w:t xml:space="preserve"> </w:t>
      </w:r>
      <w:r w:rsidRPr="001B6965">
        <w:t>corporate income processing times were reduced from an estimated average of 18 months to</w:t>
      </w:r>
      <w:r w:rsidR="001B6965">
        <w:t xml:space="preserve"> </w:t>
      </w:r>
      <w:r w:rsidRPr="001B6965">
        <w:t>11 months); however, other performance, usability, accounting and reporting issues have</w:t>
      </w:r>
      <w:r w:rsidR="001B6965">
        <w:t xml:space="preserve"> </w:t>
      </w:r>
      <w:r w:rsidRPr="001B6965">
        <w:t>arisen. A proposed solution to these issues was provided by Oracle in March 2012, but the</w:t>
      </w:r>
      <w:r w:rsidR="001B6965">
        <w:t xml:space="preserve"> </w:t>
      </w:r>
      <w:r w:rsidRPr="001B6965">
        <w:t>consensus of the VDT and the DII was that the solution had several potential problem areas,</w:t>
      </w:r>
      <w:r w:rsidR="001B6965">
        <w:t xml:space="preserve"> </w:t>
      </w:r>
      <w:r w:rsidRPr="001B6965">
        <w:t>including immaturity of the product, concerns with future ETM development plans, overly</w:t>
      </w:r>
      <w:r w:rsidR="00F008D8">
        <w:t xml:space="preserve"> </w:t>
      </w:r>
      <w:r w:rsidRPr="001B6965">
        <w:t>optimistic</w:t>
      </w:r>
      <w:r w:rsidR="00F008D8">
        <w:t xml:space="preserve"> </w:t>
      </w:r>
      <w:r w:rsidRPr="001B6965">
        <w:t>assumptions about Vermont’s internal capacity for IT proficiency, relatively high cost</w:t>
      </w:r>
      <w:r w:rsidR="00F008D8">
        <w:t xml:space="preserve"> </w:t>
      </w:r>
      <w:r w:rsidRPr="001B6965">
        <w:t>for the solution, and ongoing performance problems based on the current design.</w:t>
      </w:r>
      <w:r w:rsidR="00F008D8">
        <w:t xml:space="preserve"> </w:t>
      </w:r>
      <w:r w:rsidRPr="001B6965">
        <w:t>A technical upgrade to ETM was considered to improve the existing performance. Specific</w:t>
      </w:r>
      <w:r w:rsidR="00F008D8">
        <w:t xml:space="preserve"> </w:t>
      </w:r>
      <w:r w:rsidRPr="001B6965">
        <w:t>components to the upgrade included migrating to a newer version of ETM (version 2.3.1 from</w:t>
      </w:r>
      <w:r w:rsidR="00F008D8">
        <w:t xml:space="preserve"> </w:t>
      </w:r>
      <w:r w:rsidRPr="001B6965">
        <w:t>2.2.1), updating hardware, simplifying some customizations performed during implementation,</w:t>
      </w:r>
      <w:r w:rsidR="00F008D8">
        <w:t xml:space="preserve"> </w:t>
      </w:r>
      <w:r w:rsidRPr="001B6965">
        <w:t xml:space="preserve">and fixing “bugs” that had not yet been addressed. </w:t>
      </w:r>
    </w:p>
    <w:p w14:paraId="72F60907" w14:textId="77777777" w:rsidR="00187014" w:rsidRDefault="003A11CA" w:rsidP="000670DF">
      <w:pPr>
        <w:pStyle w:val="BodyText"/>
      </w:pPr>
      <w:r w:rsidRPr="001B6965">
        <w:t>VDT put out an RFI for a technical upgrade</w:t>
      </w:r>
      <w:r w:rsidR="00F008D8">
        <w:t xml:space="preserve"> </w:t>
      </w:r>
      <w:r w:rsidRPr="001B6965">
        <w:t>and, based on that response, issued a formal RFP. Four responses were received. One notable</w:t>
      </w:r>
      <w:r w:rsidR="00F008D8">
        <w:t xml:space="preserve"> </w:t>
      </w:r>
      <w:r w:rsidRPr="001B6965">
        <w:t>issue among the responses was that none of the respondents had a proven track record with</w:t>
      </w:r>
      <w:r w:rsidR="00F008D8">
        <w:t xml:space="preserve"> </w:t>
      </w:r>
      <w:r w:rsidRPr="001B6965">
        <w:t xml:space="preserve">ETM. Based on this information, the VDT suspended plans for the technical upgrade. </w:t>
      </w:r>
    </w:p>
    <w:p w14:paraId="72F60909" w14:textId="77777777" w:rsidR="00187014" w:rsidRDefault="003A11CA" w:rsidP="000670DF">
      <w:pPr>
        <w:pStyle w:val="BodyText"/>
      </w:pPr>
      <w:r w:rsidRPr="001B6965">
        <w:t>In addition</w:t>
      </w:r>
      <w:r w:rsidR="00F008D8">
        <w:t xml:space="preserve"> </w:t>
      </w:r>
      <w:r w:rsidRPr="001B6965">
        <w:t>to the technical upgrade RFP, the VDT issued an RFI in August 2012 to solicit vendor input on</w:t>
      </w:r>
      <w:r w:rsidR="00F008D8">
        <w:t xml:space="preserve"> </w:t>
      </w:r>
      <w:r w:rsidRPr="001B6965">
        <w:t>possible alternative ITS solutions. The VDT received seven responses: one vendor offered</w:t>
      </w:r>
      <w:r w:rsidR="00F008D8">
        <w:t xml:space="preserve"> </w:t>
      </w:r>
      <w:r w:rsidRPr="001B6965">
        <w:t>consultant services only, two vendors propose continuing with ETM implementation, and the</w:t>
      </w:r>
      <w:r w:rsidR="00F008D8">
        <w:t xml:space="preserve"> </w:t>
      </w:r>
      <w:r w:rsidRPr="001B6965">
        <w:t>remaining vendors offered four alternative COTS products.</w:t>
      </w:r>
      <w:r w:rsidR="00F008D8">
        <w:t xml:space="preserve"> </w:t>
      </w:r>
    </w:p>
    <w:p w14:paraId="72F6090B" w14:textId="77777777" w:rsidR="003A11CA" w:rsidRPr="001B6965" w:rsidRDefault="003A11CA" w:rsidP="000670DF">
      <w:pPr>
        <w:pStyle w:val="BodyText"/>
      </w:pPr>
      <w:r w:rsidRPr="001B6965">
        <w:t>In late October 2012, VDT decided it needed to hire a consultant to assist in the consideration of</w:t>
      </w:r>
      <w:r w:rsidR="00F008D8">
        <w:t xml:space="preserve"> </w:t>
      </w:r>
      <w:r w:rsidRPr="001B6965">
        <w:t>alternatives to reach the goal of an ITS in Vermont. A statement of work was issued to retain a</w:t>
      </w:r>
      <w:r w:rsidR="00F008D8">
        <w:t xml:space="preserve"> </w:t>
      </w:r>
      <w:r w:rsidRPr="001B6965">
        <w:t>business analyst and project manager who would write a business case for an ITS, high-level</w:t>
      </w:r>
      <w:r w:rsidR="00F008D8">
        <w:t xml:space="preserve"> </w:t>
      </w:r>
      <w:r w:rsidRPr="001B6965">
        <w:t>business requirements, and an RFP for a COTS s</w:t>
      </w:r>
      <w:r w:rsidR="00187014">
        <w:t>olution. This business case</w:t>
      </w:r>
      <w:r w:rsidR="00F008D8">
        <w:t xml:space="preserve"> </w:t>
      </w:r>
      <w:r w:rsidRPr="001B6965">
        <w:t>illustrate</w:t>
      </w:r>
      <w:r w:rsidR="00187014">
        <w:t>d</w:t>
      </w:r>
      <w:r w:rsidRPr="001B6965">
        <w:t xml:space="preserve"> that an ITS is appropriate for the VDT, and why the acquisition of a COTS is the best</w:t>
      </w:r>
      <w:r w:rsidR="00F008D8">
        <w:rPr>
          <w:szCs w:val="22"/>
        </w:rPr>
        <w:t xml:space="preserve"> </w:t>
      </w:r>
      <w:r w:rsidRPr="001B6965">
        <w:t>way to achieve that goal.</w:t>
      </w:r>
    </w:p>
    <w:p w14:paraId="72F6090D" w14:textId="77777777" w:rsidR="00CD57B5" w:rsidRDefault="00CF1355" w:rsidP="00981122">
      <w:pPr>
        <w:pStyle w:val="BodyText"/>
      </w:pPr>
      <w:r>
        <w:t>In May of 2013, t</w:t>
      </w:r>
      <w:r w:rsidR="00CD57B5">
        <w:t xml:space="preserve">he State of Vermont Buildings and General Services Office </w:t>
      </w:r>
      <w:r w:rsidR="00055AA3">
        <w:t xml:space="preserve">of Purchasing &amp; Contracting, on </w:t>
      </w:r>
      <w:r w:rsidR="00CD57B5">
        <w:t>behalf of the Vermont Department of Taxes (VDT), solicited competitive sealed, fixed</w:t>
      </w:r>
      <w:r w:rsidR="00CD57B5">
        <w:rPr>
          <w:rFonts w:ascii="Cambria Math" w:hAnsi="Cambria Math" w:cs="Cambria Math"/>
        </w:rPr>
        <w:t>‐</w:t>
      </w:r>
      <w:r w:rsidR="00CD57B5">
        <w:t>price</w:t>
      </w:r>
      <w:r w:rsidR="00055AA3">
        <w:t xml:space="preserve"> </w:t>
      </w:r>
      <w:r w:rsidR="00CD57B5">
        <w:t>proposals for an Integrated Tax Solution (ITS) from qualified vendors.</w:t>
      </w:r>
    </w:p>
    <w:p w14:paraId="72F6090E" w14:textId="77777777" w:rsidR="00CD57B5" w:rsidRDefault="00CD57B5" w:rsidP="00E702B7">
      <w:pPr>
        <w:pStyle w:val="BodyText"/>
      </w:pPr>
      <w:r>
        <w:t>The result of this procurement will be the acquisition of a commercial off</w:t>
      </w:r>
      <w:r>
        <w:rPr>
          <w:rFonts w:ascii="Cambria Math" w:hAnsi="Cambria Math" w:cs="Cambria Math"/>
        </w:rPr>
        <w:t>‐</w:t>
      </w:r>
      <w:r>
        <w:t>the</w:t>
      </w:r>
      <w:r>
        <w:rPr>
          <w:rFonts w:ascii="Cambria Math" w:hAnsi="Cambria Math" w:cs="Cambria Math"/>
        </w:rPr>
        <w:t>‐</w:t>
      </w:r>
      <w:r w:rsidR="00055AA3">
        <w:t xml:space="preserve">shelf (COTS) </w:t>
      </w:r>
      <w:r>
        <w:t>software solution for an ITS. All Vermont taxes, functions, and funds will be consolidated into the</w:t>
      </w:r>
      <w:r w:rsidR="00055AA3">
        <w:t xml:space="preserve"> </w:t>
      </w:r>
      <w:r w:rsidR="00187014">
        <w:t>ITS. The initial intent for the</w:t>
      </w:r>
      <w:r>
        <w:t xml:space="preserve"> contract resulting from </w:t>
      </w:r>
      <w:r w:rsidR="00187014">
        <w:t>this RFP was</w:t>
      </w:r>
      <w:r>
        <w:t xml:space="preserve"> a </w:t>
      </w:r>
      <w:r w:rsidRPr="00187014">
        <w:t>deliverables</w:t>
      </w:r>
      <w:r w:rsidRPr="00187014">
        <w:rPr>
          <w:rFonts w:ascii="Cambria Math" w:hAnsi="Cambria Math" w:cs="Cambria Math"/>
        </w:rPr>
        <w:t>‐</w:t>
      </w:r>
      <w:r w:rsidRPr="00187014">
        <w:t>based,</w:t>
      </w:r>
      <w:r>
        <w:t xml:space="preserve"> fixed</w:t>
      </w:r>
      <w:r>
        <w:rPr>
          <w:rFonts w:ascii="Cambria Math" w:hAnsi="Cambria Math" w:cs="Cambria Math"/>
        </w:rPr>
        <w:t>‐</w:t>
      </w:r>
      <w:r>
        <w:t>cost contract. COTS</w:t>
      </w:r>
      <w:r w:rsidR="00055AA3">
        <w:t xml:space="preserve"> </w:t>
      </w:r>
      <w:r>
        <w:t>software, software integration services, hardware to operate that software or appropriate</w:t>
      </w:r>
      <w:r w:rsidR="00055AA3">
        <w:t xml:space="preserve"> </w:t>
      </w:r>
      <w:r>
        <w:t>hosting, warranty, and ongoing operations and maintenance activities are within the scope of</w:t>
      </w:r>
      <w:r w:rsidR="00055AA3">
        <w:t xml:space="preserve"> </w:t>
      </w:r>
      <w:r>
        <w:t>this procurement.</w:t>
      </w:r>
    </w:p>
    <w:p w14:paraId="35DF6A32" w14:textId="77777777" w:rsidR="00CE6879" w:rsidRDefault="00CE6879" w:rsidP="00CE6879">
      <w:pPr>
        <w:pStyle w:val="Heading2"/>
      </w:pPr>
      <w:bookmarkStart w:id="12" w:name="_Toc377313532"/>
      <w:r>
        <w:t>Project Cost Summary</w:t>
      </w:r>
      <w:bookmarkEnd w:id="12"/>
    </w:p>
    <w:p w14:paraId="4938D507" w14:textId="77777777" w:rsidR="00CE6879" w:rsidRPr="004B12C6" w:rsidRDefault="00CE6879" w:rsidP="00CE6879">
      <w:pPr>
        <w:widowControl w:val="0"/>
        <w:autoSpaceDE w:val="0"/>
        <w:autoSpaceDN w:val="0"/>
        <w:adjustRightInd w:val="0"/>
        <w:rPr>
          <w:b/>
        </w:rPr>
      </w:pPr>
      <w:r w:rsidRPr="004B12C6">
        <w:rPr>
          <w:b/>
        </w:rPr>
        <w:t>Budget</w:t>
      </w:r>
    </w:p>
    <w:p w14:paraId="24514BF4" w14:textId="77777777" w:rsidR="00CE6879" w:rsidRPr="00EC0B68" w:rsidRDefault="00CE6879" w:rsidP="00CE6879">
      <w:pPr>
        <w:pStyle w:val="TableBullet"/>
      </w:pPr>
      <w:r w:rsidRPr="00EC0B68">
        <w:t>Within the VDT ITS Business Case Final 2-4-2013.pdf, an expectation was set for a range of $12.4MM to $27.7MM total cost for an ITS.</w:t>
      </w:r>
    </w:p>
    <w:p w14:paraId="5DDBA462" w14:textId="77777777" w:rsidR="00CE6879" w:rsidRDefault="00CE6879" w:rsidP="00CE6879">
      <w:pPr>
        <w:pStyle w:val="TableBullet"/>
      </w:pPr>
      <w:r w:rsidRPr="00EC0B68">
        <w:t>The FAST proposal outlines a total fixed cost of $28,377,475 for implementation</w:t>
      </w:r>
      <w:r>
        <w:t xml:space="preserve"> over the period FY14 through FY18, </w:t>
      </w:r>
      <w:r w:rsidRPr="00EC0B68">
        <w:t>a 5 year Maintenance and Support plan</w:t>
      </w:r>
      <w:r>
        <w:t>, and a 2 year software warranty on each phase of implementation.</w:t>
      </w:r>
    </w:p>
    <w:p w14:paraId="27B37AF0" w14:textId="65C02532" w:rsidR="005C3ABC" w:rsidRPr="00EC0B68" w:rsidRDefault="005C3ABC" w:rsidP="00CE6879">
      <w:pPr>
        <w:pStyle w:val="TableBullet"/>
      </w:pPr>
      <w:r>
        <w:t xml:space="preserve">Acknowledging the premium associated with the benefits-based acquisition model of GenTax, FAST’s proposed cost for implementation is considered reasonable as compared to other states similar to Vermont.  </w:t>
      </w:r>
    </w:p>
    <w:p w14:paraId="4E3E2E26" w14:textId="77777777" w:rsidR="00CE6879" w:rsidRDefault="00CE6879" w:rsidP="00CE6879">
      <w:pPr>
        <w:widowControl w:val="0"/>
        <w:autoSpaceDE w:val="0"/>
        <w:autoSpaceDN w:val="0"/>
        <w:adjustRightInd w:val="0"/>
      </w:pPr>
    </w:p>
    <w:p w14:paraId="427D4CE2" w14:textId="77777777" w:rsidR="00CE6879" w:rsidRPr="004B12C6" w:rsidRDefault="00CE6879" w:rsidP="00CE6879">
      <w:pPr>
        <w:widowControl w:val="0"/>
        <w:autoSpaceDE w:val="0"/>
        <w:autoSpaceDN w:val="0"/>
        <w:adjustRightInd w:val="0"/>
        <w:rPr>
          <w:b/>
        </w:rPr>
      </w:pPr>
      <w:r w:rsidRPr="004B12C6">
        <w:rPr>
          <w:b/>
        </w:rPr>
        <w:t>Hardware</w:t>
      </w:r>
    </w:p>
    <w:p w14:paraId="5400F406" w14:textId="2CF0D40E" w:rsidR="00CE6879" w:rsidRPr="003840AF" w:rsidRDefault="00CE6879" w:rsidP="00CE6879">
      <w:pPr>
        <w:pStyle w:val="TableBullet"/>
      </w:pPr>
      <w:r w:rsidRPr="003840AF">
        <w:t xml:space="preserve">The FAST solution proposes the procurement of hardware including 12 servers, 4 network switches, 2 firewalls, 4 load balancers, 1 hardware mounting rack, and 1 storage area network.  The acquisition costs for this hardware are projected at </w:t>
      </w:r>
      <w:r w:rsidRPr="00055E6A">
        <w:t>$353,000</w:t>
      </w:r>
      <w:r w:rsidRPr="003840AF">
        <w:t xml:space="preserve">.  The lifetime of this infrastructure is expected to be five years. </w:t>
      </w:r>
    </w:p>
    <w:p w14:paraId="439E6A3D" w14:textId="163E1990" w:rsidR="00CE6879" w:rsidRPr="003840AF" w:rsidRDefault="00CE6879" w:rsidP="00CE6879">
      <w:pPr>
        <w:pStyle w:val="TableBullet"/>
      </w:pPr>
      <w:r w:rsidRPr="003840AF">
        <w:t>After the initial five year period, a technology refresh will occur to support five additional years.  While it is not possible to know the exact cost of this refresh five years in the future, VDT has noted that it is anticipated that t</w:t>
      </w:r>
      <w:r w:rsidRPr="00055E6A">
        <w:t>he cost for the refresh is estimated to be the same as the first five years given that the performance requirements will remain the same and the hardware cost per MIPS (Millions of Instructions Per Second) will also remain about the same.</w:t>
      </w:r>
      <w:r w:rsidRPr="003840AF">
        <w:t xml:space="preserve"> </w:t>
      </w:r>
      <w:r w:rsidR="008F360D">
        <w:t xml:space="preserve"> In addition, DII has estimated that the refresh cost will be less than the initial cost value.  </w:t>
      </w:r>
      <w:r w:rsidR="00B05F46">
        <w:t xml:space="preserve">Mathtech has </w:t>
      </w:r>
      <w:r w:rsidR="008F360D">
        <w:t xml:space="preserve">addressed the refresh value with a conservative </w:t>
      </w:r>
      <w:r w:rsidR="00B05F46">
        <w:t xml:space="preserve">5% increase </w:t>
      </w:r>
      <w:r w:rsidR="008F360D">
        <w:t>estimate</w:t>
      </w:r>
      <w:r w:rsidR="00FD43A9">
        <w:t xml:space="preserve"> in the Cost Benefit Analysis</w:t>
      </w:r>
      <w:r w:rsidR="008F360D">
        <w:t xml:space="preserve">.  </w:t>
      </w:r>
    </w:p>
    <w:p w14:paraId="56981AB9" w14:textId="77777777" w:rsidR="00CE6879" w:rsidRDefault="00CE6879" w:rsidP="00CE6879">
      <w:pPr>
        <w:widowControl w:val="0"/>
        <w:autoSpaceDE w:val="0"/>
        <w:autoSpaceDN w:val="0"/>
        <w:adjustRightInd w:val="0"/>
      </w:pPr>
    </w:p>
    <w:p w14:paraId="24461888" w14:textId="77777777" w:rsidR="00CE6879" w:rsidRPr="003840AF" w:rsidRDefault="00CE6879" w:rsidP="00CE6879">
      <w:pPr>
        <w:widowControl w:val="0"/>
        <w:autoSpaceDE w:val="0"/>
        <w:autoSpaceDN w:val="0"/>
        <w:adjustRightInd w:val="0"/>
        <w:rPr>
          <w:b/>
        </w:rPr>
      </w:pPr>
      <w:r w:rsidRPr="003840AF">
        <w:rPr>
          <w:b/>
        </w:rPr>
        <w:t>Software</w:t>
      </w:r>
    </w:p>
    <w:p w14:paraId="3027CD68" w14:textId="77777777" w:rsidR="00CE6879" w:rsidRPr="003840AF" w:rsidRDefault="00CE6879" w:rsidP="00CE6879">
      <w:pPr>
        <w:pStyle w:val="TableBullet"/>
        <w:rPr>
          <w:szCs w:val="22"/>
        </w:rPr>
      </w:pPr>
      <w:r w:rsidRPr="003840AF">
        <w:rPr>
          <w:szCs w:val="22"/>
        </w:rPr>
        <w:t xml:space="preserve">The software license fees are proposed as a fixed fee of </w:t>
      </w:r>
      <w:r w:rsidRPr="00055E6A">
        <w:rPr>
          <w:szCs w:val="22"/>
        </w:rPr>
        <w:t>$4,477,350.</w:t>
      </w:r>
    </w:p>
    <w:p w14:paraId="01FFEADF" w14:textId="77777777" w:rsidR="00CE6879" w:rsidRPr="003840AF" w:rsidRDefault="00CE6879" w:rsidP="00CE6879">
      <w:pPr>
        <w:pStyle w:val="TableBullet"/>
        <w:rPr>
          <w:szCs w:val="22"/>
        </w:rPr>
      </w:pPr>
      <w:r w:rsidRPr="003840AF">
        <w:rPr>
          <w:szCs w:val="22"/>
        </w:rPr>
        <w:t xml:space="preserve">The software support costs for the first five years </w:t>
      </w:r>
      <w:r w:rsidRPr="00055E6A">
        <w:rPr>
          <w:szCs w:val="22"/>
        </w:rPr>
        <w:t>$4,046,625.</w:t>
      </w:r>
    </w:p>
    <w:p w14:paraId="51E2298E" w14:textId="77777777" w:rsidR="00CE6879" w:rsidRPr="003840AF" w:rsidRDefault="00CE6879" w:rsidP="00CE6879">
      <w:pPr>
        <w:pStyle w:val="TableBullet"/>
      </w:pPr>
      <w:r w:rsidRPr="003840AF">
        <w:t xml:space="preserve">The software implementation costs are spread across four implementations each taking approximately one year and are set at </w:t>
      </w:r>
      <w:r w:rsidRPr="00055E6A">
        <w:t>$15,500,000.</w:t>
      </w:r>
    </w:p>
    <w:p w14:paraId="6C60FD6F" w14:textId="77777777" w:rsidR="00CE6879" w:rsidRDefault="00CE6879" w:rsidP="00CE6879">
      <w:pPr>
        <w:pStyle w:val="TableBullet"/>
      </w:pPr>
      <w:r w:rsidRPr="003840AF">
        <w:t>The warranty costs cover 2 years after each phase of implementation and are specific to the scope of each phase of implementation.  Total cost for all warranty periods is $4,000,000.</w:t>
      </w:r>
    </w:p>
    <w:p w14:paraId="175FE9AD" w14:textId="0C4F3ECB" w:rsidR="005C3ABC" w:rsidRPr="003840AF" w:rsidRDefault="005C3ABC" w:rsidP="005C3ABC">
      <w:pPr>
        <w:pStyle w:val="TableBullet"/>
      </w:pPr>
      <w:r>
        <w:t>U</w:t>
      </w:r>
      <w:r w:rsidRPr="005C3ABC">
        <w:t xml:space="preserve">pgrades </w:t>
      </w:r>
      <w:r>
        <w:t>to</w:t>
      </w:r>
      <w:r w:rsidRPr="005C3ABC">
        <w:t xml:space="preserve"> the GenTax software during the implementation period are factored in to FAST’s proposal (i.e., FAST will implement the most current software throughout implementation)</w:t>
      </w:r>
      <w:r>
        <w:t>.</w:t>
      </w:r>
    </w:p>
    <w:p w14:paraId="5FE77BCA" w14:textId="77777777" w:rsidR="00CE6879" w:rsidRPr="004B12C6" w:rsidRDefault="00CE6879" w:rsidP="00CE6879">
      <w:pPr>
        <w:widowControl w:val="0"/>
        <w:autoSpaceDE w:val="0"/>
        <w:autoSpaceDN w:val="0"/>
        <w:adjustRightInd w:val="0"/>
      </w:pPr>
    </w:p>
    <w:p w14:paraId="50F73322" w14:textId="5181691A" w:rsidR="00CE6879" w:rsidRDefault="008B7BA0" w:rsidP="00CE6879">
      <w:pPr>
        <w:pStyle w:val="BodyText"/>
      </w:pPr>
      <w:r>
        <w:t xml:space="preserve">The following </w:t>
      </w:r>
      <w:r w:rsidR="00CE6879" w:rsidRPr="00ED1F2D">
        <w:t xml:space="preserve">Project Milestones </w:t>
      </w:r>
      <w:r>
        <w:t xml:space="preserve">were </w:t>
      </w:r>
      <w:r w:rsidR="00CE6879" w:rsidRPr="00ED1F2D">
        <w:t xml:space="preserve">submitted with </w:t>
      </w:r>
      <w:r w:rsidR="00636B22">
        <w:t xml:space="preserve">the </w:t>
      </w:r>
      <w:r w:rsidR="00CE6879" w:rsidRPr="00ED1F2D">
        <w:t xml:space="preserve">FAST proposal.  Based on elapsed time and contract negotiation timing, these dates will shift.  </w:t>
      </w:r>
    </w:p>
    <w:p w14:paraId="36718B06" w14:textId="6CA9ED20" w:rsidR="00CE6879" w:rsidRDefault="00CE6879" w:rsidP="00CE6879">
      <w:pPr>
        <w:pStyle w:val="Heading4"/>
      </w:pPr>
      <w:r>
        <w:t xml:space="preserve">Table </w:t>
      </w:r>
      <w:r w:rsidR="000220F0">
        <w:t>5</w:t>
      </w:r>
      <w:r>
        <w:t xml:space="preserve"> – Project Milestone Timing</w:t>
      </w:r>
    </w:p>
    <w:p w14:paraId="3CEF3FB2" w14:textId="77777777" w:rsidR="00CE6879" w:rsidRPr="00F92576" w:rsidRDefault="00CE6879" w:rsidP="00CE6879">
      <w:pPr>
        <w:pStyle w:val="BodyText"/>
      </w:pPr>
    </w:p>
    <w:tbl>
      <w:tblPr>
        <w:tblStyle w:val="TableGrid"/>
        <w:tblW w:w="0" w:type="auto"/>
        <w:tblLook w:val="00A0" w:firstRow="1" w:lastRow="0" w:firstColumn="1" w:lastColumn="0" w:noHBand="0" w:noVBand="0"/>
      </w:tblPr>
      <w:tblGrid>
        <w:gridCol w:w="4514"/>
        <w:gridCol w:w="3244"/>
        <w:gridCol w:w="1271"/>
      </w:tblGrid>
      <w:tr w:rsidR="00636B22" w:rsidRPr="00055E6A" w14:paraId="3AE33086" w14:textId="53633599" w:rsidTr="00545647">
        <w:tc>
          <w:tcPr>
            <w:tcW w:w="4514" w:type="dxa"/>
            <w:shd w:val="clear" w:color="auto" w:fill="BFBFBF" w:themeFill="background1" w:themeFillShade="BF"/>
          </w:tcPr>
          <w:p w14:paraId="416B5353" w14:textId="77777777" w:rsidR="00636B22" w:rsidRPr="00055E6A" w:rsidRDefault="00636B22" w:rsidP="008B7BA0">
            <w:pPr>
              <w:widowControl w:val="0"/>
              <w:autoSpaceDE w:val="0"/>
              <w:autoSpaceDN w:val="0"/>
              <w:adjustRightInd w:val="0"/>
              <w:rPr>
                <w:b/>
                <w:sz w:val="18"/>
              </w:rPr>
            </w:pPr>
            <w:r w:rsidRPr="00055E6A">
              <w:rPr>
                <w:b/>
                <w:sz w:val="18"/>
              </w:rPr>
              <w:t>Project Milestone</w:t>
            </w:r>
          </w:p>
        </w:tc>
        <w:tc>
          <w:tcPr>
            <w:tcW w:w="3244" w:type="dxa"/>
            <w:shd w:val="clear" w:color="auto" w:fill="BFBFBF" w:themeFill="background1" w:themeFillShade="BF"/>
          </w:tcPr>
          <w:p w14:paraId="4D6871D1" w14:textId="77777777" w:rsidR="00636B22" w:rsidRPr="00055E6A" w:rsidRDefault="00636B22" w:rsidP="008B7BA0">
            <w:pPr>
              <w:widowControl w:val="0"/>
              <w:autoSpaceDE w:val="0"/>
              <w:autoSpaceDN w:val="0"/>
              <w:adjustRightInd w:val="0"/>
              <w:rPr>
                <w:b/>
                <w:sz w:val="18"/>
              </w:rPr>
            </w:pPr>
            <w:r w:rsidRPr="00055E6A">
              <w:rPr>
                <w:b/>
                <w:sz w:val="18"/>
              </w:rPr>
              <w:t>Date</w:t>
            </w:r>
          </w:p>
        </w:tc>
        <w:tc>
          <w:tcPr>
            <w:tcW w:w="1271" w:type="dxa"/>
            <w:shd w:val="clear" w:color="auto" w:fill="BFBFBF" w:themeFill="background1" w:themeFillShade="BF"/>
          </w:tcPr>
          <w:p w14:paraId="200C2353" w14:textId="3A749F0D" w:rsidR="00636B22" w:rsidRPr="00055E6A" w:rsidRDefault="00636B22" w:rsidP="008B7BA0">
            <w:pPr>
              <w:widowControl w:val="0"/>
              <w:autoSpaceDE w:val="0"/>
              <w:autoSpaceDN w:val="0"/>
              <w:adjustRightInd w:val="0"/>
              <w:rPr>
                <w:b/>
                <w:sz w:val="18"/>
              </w:rPr>
            </w:pPr>
            <w:r>
              <w:rPr>
                <w:b/>
                <w:sz w:val="18"/>
              </w:rPr>
              <w:t>Fiscal Year</w:t>
            </w:r>
          </w:p>
        </w:tc>
      </w:tr>
      <w:tr w:rsidR="00636B22" w:rsidRPr="00055E6A" w14:paraId="0FB80121" w14:textId="0CB3DA7B" w:rsidTr="00545647">
        <w:tc>
          <w:tcPr>
            <w:tcW w:w="4514" w:type="dxa"/>
          </w:tcPr>
          <w:p w14:paraId="38C9571A" w14:textId="77777777" w:rsidR="00636B22" w:rsidRPr="00055E6A" w:rsidRDefault="00636B22" w:rsidP="008B7BA0">
            <w:pPr>
              <w:widowControl w:val="0"/>
              <w:autoSpaceDE w:val="0"/>
              <w:autoSpaceDN w:val="0"/>
              <w:adjustRightInd w:val="0"/>
              <w:rPr>
                <w:sz w:val="18"/>
              </w:rPr>
            </w:pPr>
            <w:r w:rsidRPr="00055E6A">
              <w:rPr>
                <w:sz w:val="18"/>
              </w:rPr>
              <w:t>Project Start</w:t>
            </w:r>
          </w:p>
        </w:tc>
        <w:tc>
          <w:tcPr>
            <w:tcW w:w="3244" w:type="dxa"/>
          </w:tcPr>
          <w:p w14:paraId="1F1F52CB" w14:textId="77777777" w:rsidR="00636B22" w:rsidRPr="00055E6A" w:rsidRDefault="00636B22" w:rsidP="008B7BA0">
            <w:pPr>
              <w:widowControl w:val="0"/>
              <w:autoSpaceDE w:val="0"/>
              <w:autoSpaceDN w:val="0"/>
              <w:adjustRightInd w:val="0"/>
              <w:rPr>
                <w:sz w:val="18"/>
              </w:rPr>
            </w:pPr>
            <w:r w:rsidRPr="00055E6A">
              <w:rPr>
                <w:sz w:val="18"/>
              </w:rPr>
              <w:t>October 1, 2013</w:t>
            </w:r>
          </w:p>
        </w:tc>
        <w:tc>
          <w:tcPr>
            <w:tcW w:w="1271" w:type="dxa"/>
          </w:tcPr>
          <w:p w14:paraId="6AD1646B" w14:textId="270690C3" w:rsidR="00636B22" w:rsidRPr="00055E6A" w:rsidRDefault="00636B22" w:rsidP="008B7BA0">
            <w:pPr>
              <w:widowControl w:val="0"/>
              <w:autoSpaceDE w:val="0"/>
              <w:autoSpaceDN w:val="0"/>
              <w:adjustRightInd w:val="0"/>
              <w:rPr>
                <w:sz w:val="18"/>
              </w:rPr>
            </w:pPr>
            <w:r>
              <w:rPr>
                <w:sz w:val="18"/>
              </w:rPr>
              <w:t>FY14</w:t>
            </w:r>
          </w:p>
        </w:tc>
      </w:tr>
      <w:tr w:rsidR="00636B22" w:rsidRPr="00055E6A" w14:paraId="550C4265" w14:textId="7E063E80" w:rsidTr="00545647">
        <w:tc>
          <w:tcPr>
            <w:tcW w:w="4514" w:type="dxa"/>
          </w:tcPr>
          <w:p w14:paraId="210FF820" w14:textId="77777777" w:rsidR="00636B22" w:rsidRPr="00055E6A" w:rsidRDefault="00636B22" w:rsidP="008B7BA0">
            <w:pPr>
              <w:widowControl w:val="0"/>
              <w:autoSpaceDE w:val="0"/>
              <w:autoSpaceDN w:val="0"/>
              <w:adjustRightInd w:val="0"/>
              <w:rPr>
                <w:sz w:val="18"/>
              </w:rPr>
            </w:pPr>
            <w:r w:rsidRPr="00055E6A">
              <w:rPr>
                <w:sz w:val="18"/>
              </w:rPr>
              <w:t>GenTax Installed</w:t>
            </w:r>
          </w:p>
        </w:tc>
        <w:tc>
          <w:tcPr>
            <w:tcW w:w="3244" w:type="dxa"/>
          </w:tcPr>
          <w:p w14:paraId="7CAEB2BF" w14:textId="77777777" w:rsidR="00636B22" w:rsidRPr="00055E6A" w:rsidRDefault="00636B22" w:rsidP="008B7BA0">
            <w:pPr>
              <w:widowControl w:val="0"/>
              <w:autoSpaceDE w:val="0"/>
              <w:autoSpaceDN w:val="0"/>
              <w:adjustRightInd w:val="0"/>
              <w:rPr>
                <w:sz w:val="18"/>
              </w:rPr>
            </w:pPr>
            <w:r w:rsidRPr="00055E6A">
              <w:rPr>
                <w:sz w:val="18"/>
              </w:rPr>
              <w:t>October 25, 2013</w:t>
            </w:r>
          </w:p>
        </w:tc>
        <w:tc>
          <w:tcPr>
            <w:tcW w:w="1271" w:type="dxa"/>
          </w:tcPr>
          <w:p w14:paraId="5098A86A" w14:textId="41EC56EA" w:rsidR="00636B22" w:rsidRPr="00055E6A" w:rsidRDefault="00636B22" w:rsidP="008B7BA0">
            <w:pPr>
              <w:widowControl w:val="0"/>
              <w:autoSpaceDE w:val="0"/>
              <w:autoSpaceDN w:val="0"/>
              <w:adjustRightInd w:val="0"/>
              <w:rPr>
                <w:sz w:val="18"/>
              </w:rPr>
            </w:pPr>
            <w:r>
              <w:rPr>
                <w:sz w:val="18"/>
              </w:rPr>
              <w:t>FY14</w:t>
            </w:r>
          </w:p>
        </w:tc>
      </w:tr>
      <w:tr w:rsidR="00636B22" w:rsidRPr="00055E6A" w14:paraId="0605F9FA" w14:textId="0B81C45A" w:rsidTr="00545647">
        <w:tc>
          <w:tcPr>
            <w:tcW w:w="4514" w:type="dxa"/>
          </w:tcPr>
          <w:p w14:paraId="525C0404" w14:textId="77777777" w:rsidR="00636B22" w:rsidRPr="00055E6A" w:rsidRDefault="00636B22" w:rsidP="008B7BA0">
            <w:pPr>
              <w:widowControl w:val="0"/>
              <w:autoSpaceDE w:val="0"/>
              <w:autoSpaceDN w:val="0"/>
              <w:adjustRightInd w:val="0"/>
              <w:rPr>
                <w:sz w:val="18"/>
              </w:rPr>
            </w:pPr>
            <w:r w:rsidRPr="00055E6A">
              <w:rPr>
                <w:sz w:val="18"/>
              </w:rPr>
              <w:t>Rollout 1 Delivered</w:t>
            </w:r>
          </w:p>
        </w:tc>
        <w:tc>
          <w:tcPr>
            <w:tcW w:w="3244" w:type="dxa"/>
          </w:tcPr>
          <w:p w14:paraId="2F12F9CD" w14:textId="77777777" w:rsidR="00636B22" w:rsidRPr="00055E6A" w:rsidRDefault="00636B22" w:rsidP="008B7BA0">
            <w:pPr>
              <w:widowControl w:val="0"/>
              <w:autoSpaceDE w:val="0"/>
              <w:autoSpaceDN w:val="0"/>
              <w:adjustRightInd w:val="0"/>
              <w:rPr>
                <w:sz w:val="18"/>
              </w:rPr>
            </w:pPr>
            <w:r w:rsidRPr="00055E6A">
              <w:rPr>
                <w:sz w:val="18"/>
              </w:rPr>
              <w:t>September 29, 2014</w:t>
            </w:r>
          </w:p>
        </w:tc>
        <w:tc>
          <w:tcPr>
            <w:tcW w:w="1271" w:type="dxa"/>
          </w:tcPr>
          <w:p w14:paraId="0C565C02" w14:textId="22CF3330" w:rsidR="00636B22" w:rsidRPr="00055E6A" w:rsidRDefault="00636B22" w:rsidP="008B7BA0">
            <w:pPr>
              <w:widowControl w:val="0"/>
              <w:autoSpaceDE w:val="0"/>
              <w:autoSpaceDN w:val="0"/>
              <w:adjustRightInd w:val="0"/>
              <w:rPr>
                <w:sz w:val="18"/>
              </w:rPr>
            </w:pPr>
            <w:r>
              <w:rPr>
                <w:sz w:val="18"/>
              </w:rPr>
              <w:t>FY15</w:t>
            </w:r>
          </w:p>
        </w:tc>
      </w:tr>
      <w:tr w:rsidR="00636B22" w:rsidRPr="00055E6A" w14:paraId="25E21C12" w14:textId="68146BC0" w:rsidTr="00545647">
        <w:tc>
          <w:tcPr>
            <w:tcW w:w="4514" w:type="dxa"/>
          </w:tcPr>
          <w:p w14:paraId="2E53B0C1" w14:textId="77777777" w:rsidR="00636B22" w:rsidRPr="00055E6A" w:rsidRDefault="00636B22" w:rsidP="008B7BA0">
            <w:pPr>
              <w:widowControl w:val="0"/>
              <w:autoSpaceDE w:val="0"/>
              <w:autoSpaceDN w:val="0"/>
              <w:adjustRightInd w:val="0"/>
              <w:rPr>
                <w:sz w:val="18"/>
              </w:rPr>
            </w:pPr>
            <w:r w:rsidRPr="00055E6A">
              <w:rPr>
                <w:sz w:val="18"/>
              </w:rPr>
              <w:t>Rollout 2 Delivered</w:t>
            </w:r>
          </w:p>
        </w:tc>
        <w:tc>
          <w:tcPr>
            <w:tcW w:w="3244" w:type="dxa"/>
          </w:tcPr>
          <w:p w14:paraId="5BB0BA26" w14:textId="77777777" w:rsidR="00636B22" w:rsidRPr="00055E6A" w:rsidRDefault="00636B22" w:rsidP="008B7BA0">
            <w:pPr>
              <w:widowControl w:val="0"/>
              <w:autoSpaceDE w:val="0"/>
              <w:autoSpaceDN w:val="0"/>
              <w:adjustRightInd w:val="0"/>
              <w:rPr>
                <w:sz w:val="18"/>
              </w:rPr>
            </w:pPr>
            <w:r w:rsidRPr="00055E6A">
              <w:rPr>
                <w:sz w:val="18"/>
              </w:rPr>
              <w:t>September 28, 2015</w:t>
            </w:r>
          </w:p>
        </w:tc>
        <w:tc>
          <w:tcPr>
            <w:tcW w:w="1271" w:type="dxa"/>
          </w:tcPr>
          <w:p w14:paraId="72769956" w14:textId="01EB8CA9" w:rsidR="00636B22" w:rsidRPr="00055E6A" w:rsidRDefault="00636B22" w:rsidP="008B7BA0">
            <w:pPr>
              <w:widowControl w:val="0"/>
              <w:autoSpaceDE w:val="0"/>
              <w:autoSpaceDN w:val="0"/>
              <w:adjustRightInd w:val="0"/>
              <w:rPr>
                <w:sz w:val="18"/>
              </w:rPr>
            </w:pPr>
            <w:r>
              <w:rPr>
                <w:sz w:val="18"/>
              </w:rPr>
              <w:t>FY15</w:t>
            </w:r>
          </w:p>
        </w:tc>
      </w:tr>
      <w:tr w:rsidR="00636B22" w:rsidRPr="00055E6A" w14:paraId="207D2391" w14:textId="4AE56A5C" w:rsidTr="00545647">
        <w:tc>
          <w:tcPr>
            <w:tcW w:w="4514" w:type="dxa"/>
          </w:tcPr>
          <w:p w14:paraId="6E5BB754" w14:textId="77777777" w:rsidR="00636B22" w:rsidRPr="00055E6A" w:rsidRDefault="00636B22" w:rsidP="008B7BA0">
            <w:pPr>
              <w:widowControl w:val="0"/>
              <w:autoSpaceDE w:val="0"/>
              <w:autoSpaceDN w:val="0"/>
              <w:adjustRightInd w:val="0"/>
              <w:rPr>
                <w:sz w:val="18"/>
              </w:rPr>
            </w:pPr>
            <w:r w:rsidRPr="00055E6A">
              <w:rPr>
                <w:sz w:val="18"/>
              </w:rPr>
              <w:t>Rollout 3 Delivered</w:t>
            </w:r>
          </w:p>
        </w:tc>
        <w:tc>
          <w:tcPr>
            <w:tcW w:w="3244" w:type="dxa"/>
          </w:tcPr>
          <w:p w14:paraId="4F94F4B8" w14:textId="77777777" w:rsidR="00636B22" w:rsidRPr="00055E6A" w:rsidRDefault="00636B22" w:rsidP="008B7BA0">
            <w:pPr>
              <w:widowControl w:val="0"/>
              <w:autoSpaceDE w:val="0"/>
              <w:autoSpaceDN w:val="0"/>
              <w:adjustRightInd w:val="0"/>
              <w:rPr>
                <w:sz w:val="18"/>
              </w:rPr>
            </w:pPr>
            <w:r w:rsidRPr="00055E6A">
              <w:rPr>
                <w:sz w:val="18"/>
              </w:rPr>
              <w:t>September 26, 2016</w:t>
            </w:r>
          </w:p>
        </w:tc>
        <w:tc>
          <w:tcPr>
            <w:tcW w:w="1271" w:type="dxa"/>
          </w:tcPr>
          <w:p w14:paraId="5E2E1779" w14:textId="447FE92A" w:rsidR="00636B22" w:rsidRPr="00055E6A" w:rsidRDefault="00636B22" w:rsidP="008B7BA0">
            <w:pPr>
              <w:widowControl w:val="0"/>
              <w:autoSpaceDE w:val="0"/>
              <w:autoSpaceDN w:val="0"/>
              <w:adjustRightInd w:val="0"/>
              <w:rPr>
                <w:sz w:val="18"/>
              </w:rPr>
            </w:pPr>
            <w:r>
              <w:rPr>
                <w:sz w:val="18"/>
              </w:rPr>
              <w:t>FY16</w:t>
            </w:r>
          </w:p>
        </w:tc>
      </w:tr>
      <w:tr w:rsidR="00636B22" w:rsidRPr="00055E6A" w14:paraId="61033A30" w14:textId="294764CF" w:rsidTr="00545647">
        <w:tc>
          <w:tcPr>
            <w:tcW w:w="4514" w:type="dxa"/>
          </w:tcPr>
          <w:p w14:paraId="7BCA3AA7" w14:textId="77777777" w:rsidR="00636B22" w:rsidRPr="00055E6A" w:rsidRDefault="00636B22" w:rsidP="008B7BA0">
            <w:pPr>
              <w:widowControl w:val="0"/>
              <w:autoSpaceDE w:val="0"/>
              <w:autoSpaceDN w:val="0"/>
              <w:adjustRightInd w:val="0"/>
              <w:rPr>
                <w:sz w:val="18"/>
              </w:rPr>
            </w:pPr>
            <w:r w:rsidRPr="00055E6A">
              <w:rPr>
                <w:sz w:val="18"/>
              </w:rPr>
              <w:t>Rollout 4 Delivered</w:t>
            </w:r>
          </w:p>
        </w:tc>
        <w:tc>
          <w:tcPr>
            <w:tcW w:w="3244" w:type="dxa"/>
          </w:tcPr>
          <w:p w14:paraId="183915BA" w14:textId="77777777" w:rsidR="00636B22" w:rsidRPr="00055E6A" w:rsidRDefault="00636B22" w:rsidP="008B7BA0">
            <w:pPr>
              <w:widowControl w:val="0"/>
              <w:autoSpaceDE w:val="0"/>
              <w:autoSpaceDN w:val="0"/>
              <w:adjustRightInd w:val="0"/>
              <w:rPr>
                <w:sz w:val="18"/>
              </w:rPr>
            </w:pPr>
            <w:r w:rsidRPr="00055E6A">
              <w:rPr>
                <w:sz w:val="18"/>
              </w:rPr>
              <w:t>September 25, 2017</w:t>
            </w:r>
          </w:p>
        </w:tc>
        <w:tc>
          <w:tcPr>
            <w:tcW w:w="1271" w:type="dxa"/>
          </w:tcPr>
          <w:p w14:paraId="32F32999" w14:textId="7A20CBD2" w:rsidR="00636B22" w:rsidRPr="00055E6A" w:rsidRDefault="00636B22" w:rsidP="008B7BA0">
            <w:pPr>
              <w:widowControl w:val="0"/>
              <w:autoSpaceDE w:val="0"/>
              <w:autoSpaceDN w:val="0"/>
              <w:adjustRightInd w:val="0"/>
              <w:rPr>
                <w:sz w:val="18"/>
              </w:rPr>
            </w:pPr>
            <w:r>
              <w:rPr>
                <w:sz w:val="18"/>
              </w:rPr>
              <w:t>FY17</w:t>
            </w:r>
          </w:p>
        </w:tc>
      </w:tr>
      <w:tr w:rsidR="00636B22" w:rsidRPr="00055E6A" w14:paraId="403C5076" w14:textId="358FA89A" w:rsidTr="00545647">
        <w:tc>
          <w:tcPr>
            <w:tcW w:w="4514" w:type="dxa"/>
          </w:tcPr>
          <w:p w14:paraId="53DC376D" w14:textId="77777777" w:rsidR="00636B22" w:rsidRPr="00055E6A" w:rsidRDefault="00636B22" w:rsidP="008B7BA0">
            <w:pPr>
              <w:widowControl w:val="0"/>
              <w:autoSpaceDE w:val="0"/>
              <w:autoSpaceDN w:val="0"/>
              <w:adjustRightInd w:val="0"/>
              <w:rPr>
                <w:sz w:val="18"/>
              </w:rPr>
            </w:pPr>
            <w:r w:rsidRPr="00055E6A">
              <w:rPr>
                <w:sz w:val="18"/>
              </w:rPr>
              <w:t>Rollout 4 Warranty Period Complete</w:t>
            </w:r>
          </w:p>
        </w:tc>
        <w:tc>
          <w:tcPr>
            <w:tcW w:w="3244" w:type="dxa"/>
          </w:tcPr>
          <w:p w14:paraId="42473155" w14:textId="77777777" w:rsidR="00636B22" w:rsidRPr="00055E6A" w:rsidRDefault="00636B22" w:rsidP="008B7BA0">
            <w:pPr>
              <w:widowControl w:val="0"/>
              <w:autoSpaceDE w:val="0"/>
              <w:autoSpaceDN w:val="0"/>
              <w:adjustRightInd w:val="0"/>
              <w:rPr>
                <w:sz w:val="18"/>
              </w:rPr>
            </w:pPr>
            <w:r w:rsidRPr="00055E6A">
              <w:rPr>
                <w:sz w:val="18"/>
              </w:rPr>
              <w:t>September 24, 2019</w:t>
            </w:r>
          </w:p>
        </w:tc>
        <w:tc>
          <w:tcPr>
            <w:tcW w:w="1271" w:type="dxa"/>
          </w:tcPr>
          <w:p w14:paraId="6343E380" w14:textId="573826C8" w:rsidR="00636B22" w:rsidRPr="00055E6A" w:rsidRDefault="00636B22" w:rsidP="008B7BA0">
            <w:pPr>
              <w:widowControl w:val="0"/>
              <w:autoSpaceDE w:val="0"/>
              <w:autoSpaceDN w:val="0"/>
              <w:adjustRightInd w:val="0"/>
              <w:rPr>
                <w:sz w:val="18"/>
              </w:rPr>
            </w:pPr>
            <w:r>
              <w:rPr>
                <w:sz w:val="18"/>
              </w:rPr>
              <w:t>FY20</w:t>
            </w:r>
          </w:p>
        </w:tc>
      </w:tr>
      <w:tr w:rsidR="00636B22" w:rsidRPr="00055E6A" w14:paraId="464E6A15" w14:textId="3E7B913F" w:rsidTr="00545647">
        <w:tc>
          <w:tcPr>
            <w:tcW w:w="4514" w:type="dxa"/>
          </w:tcPr>
          <w:p w14:paraId="64E79CC0" w14:textId="77777777" w:rsidR="00636B22" w:rsidRPr="00055E6A" w:rsidRDefault="00636B22" w:rsidP="008B7BA0">
            <w:pPr>
              <w:widowControl w:val="0"/>
              <w:autoSpaceDE w:val="0"/>
              <w:autoSpaceDN w:val="0"/>
              <w:adjustRightInd w:val="0"/>
              <w:rPr>
                <w:sz w:val="18"/>
              </w:rPr>
            </w:pPr>
            <w:r w:rsidRPr="00055E6A">
              <w:rPr>
                <w:sz w:val="18"/>
              </w:rPr>
              <w:t>Completion of Renewal Term 2</w:t>
            </w:r>
          </w:p>
        </w:tc>
        <w:tc>
          <w:tcPr>
            <w:tcW w:w="3244" w:type="dxa"/>
          </w:tcPr>
          <w:p w14:paraId="24756272" w14:textId="77777777" w:rsidR="00636B22" w:rsidRPr="00055E6A" w:rsidRDefault="00636B22" w:rsidP="008B7BA0">
            <w:pPr>
              <w:widowControl w:val="0"/>
              <w:autoSpaceDE w:val="0"/>
              <w:autoSpaceDN w:val="0"/>
              <w:adjustRightInd w:val="0"/>
              <w:rPr>
                <w:sz w:val="18"/>
              </w:rPr>
            </w:pPr>
            <w:r w:rsidRPr="00055E6A">
              <w:rPr>
                <w:sz w:val="18"/>
              </w:rPr>
              <w:t>September 30, 2019</w:t>
            </w:r>
          </w:p>
        </w:tc>
        <w:tc>
          <w:tcPr>
            <w:tcW w:w="1271" w:type="dxa"/>
          </w:tcPr>
          <w:p w14:paraId="257FFF5F" w14:textId="2034AB4A" w:rsidR="00636B22" w:rsidRPr="00055E6A" w:rsidRDefault="00636B22" w:rsidP="008B7BA0">
            <w:pPr>
              <w:widowControl w:val="0"/>
              <w:autoSpaceDE w:val="0"/>
              <w:autoSpaceDN w:val="0"/>
              <w:adjustRightInd w:val="0"/>
              <w:rPr>
                <w:sz w:val="18"/>
              </w:rPr>
            </w:pPr>
            <w:r>
              <w:rPr>
                <w:sz w:val="18"/>
              </w:rPr>
              <w:t>FY20</w:t>
            </w:r>
          </w:p>
        </w:tc>
      </w:tr>
    </w:tbl>
    <w:p w14:paraId="72F60992" w14:textId="77777777" w:rsidR="00FB6B76" w:rsidRDefault="00A14529" w:rsidP="00A14529">
      <w:pPr>
        <w:pStyle w:val="Heading2"/>
      </w:pPr>
      <w:bookmarkStart w:id="13" w:name="_Toc377313533"/>
      <w:r>
        <w:t>Limitations of this Review</w:t>
      </w:r>
      <w:bookmarkEnd w:id="13"/>
    </w:p>
    <w:p w14:paraId="72F60994" w14:textId="77777777" w:rsidR="00FB6B76" w:rsidRPr="00453FF3" w:rsidRDefault="00FB6B76" w:rsidP="00F92576">
      <w:pPr>
        <w:pStyle w:val="BodyText"/>
      </w:pPr>
      <w:r w:rsidRPr="00453FF3">
        <w:t>This Indepe</w:t>
      </w:r>
      <w:r w:rsidR="00453FF3">
        <w:t>ndent Review of the selected FAST solution</w:t>
      </w:r>
      <w:r w:rsidRPr="00453FF3">
        <w:t xml:space="preserve"> is limited by:</w:t>
      </w:r>
    </w:p>
    <w:p w14:paraId="2466F262" w14:textId="231D3DE5" w:rsidR="005272AE" w:rsidRDefault="005272AE" w:rsidP="005272AE">
      <w:pPr>
        <w:pStyle w:val="TableBullet"/>
      </w:pPr>
      <w:r>
        <w:t xml:space="preserve">Mathtech understands that negotiation with FAST is currently underway and that components of the FAST Proposal and ITS Implementation may be altered as a result of that negotiation.  Mathtech’s Independent Review was conducted based on the FAST Proposal and all materials contained therein, and does not address any modifications that may be in progress.  </w:t>
      </w:r>
    </w:p>
    <w:p w14:paraId="72F60995" w14:textId="3A32FB75" w:rsidR="00FB6B76" w:rsidRPr="00453FF3" w:rsidRDefault="00FB6B76" w:rsidP="00F92576">
      <w:pPr>
        <w:pStyle w:val="TableBullet"/>
      </w:pPr>
      <w:r w:rsidRPr="00453FF3">
        <w:t xml:space="preserve">Availability and schedules of key </w:t>
      </w:r>
      <w:r w:rsidR="002B0E11">
        <w:t>VDT</w:t>
      </w:r>
      <w:r w:rsidR="002B0E11" w:rsidRPr="00453FF3">
        <w:t xml:space="preserve"> </w:t>
      </w:r>
      <w:r w:rsidRPr="00453FF3">
        <w:t>staff members for interviews and follow-up clarifying conversations.</w:t>
      </w:r>
    </w:p>
    <w:p w14:paraId="72F60996" w14:textId="1F9BE730" w:rsidR="00FB6B76" w:rsidRPr="00453FF3" w:rsidRDefault="00FB6B76" w:rsidP="00F92576">
      <w:pPr>
        <w:pStyle w:val="TableBullet"/>
      </w:pPr>
      <w:r w:rsidRPr="00453FF3">
        <w:t xml:space="preserve">Documentation provided to Mathtech by the State </w:t>
      </w:r>
      <w:r w:rsidRPr="00F92576">
        <w:t xml:space="preserve">(see </w:t>
      </w:r>
      <w:r w:rsidR="00F92576">
        <w:fldChar w:fldCharType="begin"/>
      </w:r>
      <w:r w:rsidR="00F92576">
        <w:instrText xml:space="preserve"> REF _Ref371947294 \h </w:instrText>
      </w:r>
      <w:r w:rsidR="00F92576">
        <w:fldChar w:fldCharType="separate"/>
      </w:r>
      <w:r w:rsidR="00FD43A9" w:rsidRPr="005D1E91">
        <w:t xml:space="preserve">Table </w:t>
      </w:r>
      <w:r w:rsidR="00FD43A9">
        <w:t>3</w:t>
      </w:r>
      <w:r w:rsidR="00FD43A9" w:rsidRPr="005D1E91">
        <w:t xml:space="preserve"> – Document Inventory</w:t>
      </w:r>
      <w:r w:rsidR="00F92576">
        <w:fldChar w:fldCharType="end"/>
      </w:r>
      <w:r w:rsidRPr="00F92576">
        <w:t>).</w:t>
      </w:r>
    </w:p>
    <w:p w14:paraId="72F60997" w14:textId="539C0C00" w:rsidR="00F56290" w:rsidRDefault="00FB6B76" w:rsidP="00F92576">
      <w:pPr>
        <w:pStyle w:val="TableBullet"/>
      </w:pPr>
      <w:r w:rsidRPr="00453FF3">
        <w:t xml:space="preserve">Throughout this Independent Review, Mathtech has relied on the accuracy of the documents and interviews provided </w:t>
      </w:r>
      <w:r w:rsidR="00453FF3">
        <w:t>by the State EPMO, the State VDT</w:t>
      </w:r>
      <w:r w:rsidRPr="00453FF3">
        <w:t>, the State DII, the FAST</w:t>
      </w:r>
      <w:r w:rsidR="00453FF3">
        <w:t xml:space="preserve"> RFP response</w:t>
      </w:r>
      <w:r w:rsidR="002C1818">
        <w:t xml:space="preserve"> and the FAST conference call.</w:t>
      </w:r>
    </w:p>
    <w:p w14:paraId="72F6099A" w14:textId="77777777" w:rsidR="00B74474" w:rsidRDefault="00A14529" w:rsidP="00B74474">
      <w:pPr>
        <w:pStyle w:val="Heading2"/>
      </w:pPr>
      <w:bookmarkStart w:id="14" w:name="_Toc377313534"/>
      <w:r>
        <w:t>Proposal Review</w:t>
      </w:r>
      <w:bookmarkEnd w:id="14"/>
    </w:p>
    <w:p w14:paraId="72F6099B" w14:textId="77777777" w:rsidR="00B74474" w:rsidRDefault="00B74474" w:rsidP="00B74474">
      <w:pPr>
        <w:pStyle w:val="Heading3"/>
      </w:pPr>
      <w:r>
        <w:t>Project Goal</w:t>
      </w:r>
    </w:p>
    <w:p w14:paraId="72F6099E" w14:textId="2FF5389B" w:rsidR="003A11CA" w:rsidRPr="00F92576" w:rsidRDefault="00F92576" w:rsidP="00F92576">
      <w:pPr>
        <w:pStyle w:val="BodyText"/>
      </w:pPr>
      <w:r>
        <w:t xml:space="preserve">As outlined in the </w:t>
      </w:r>
      <w:r w:rsidRPr="00F92576">
        <w:rPr>
          <w:b/>
        </w:rPr>
        <w:t>Integrated Tax System (ITS) Planning Project Business Case Analysis</w:t>
      </w:r>
      <w:r>
        <w:t xml:space="preserve"> dated February 4, 2013, t</w:t>
      </w:r>
      <w:r w:rsidR="00734D06" w:rsidRPr="00F92576">
        <w:t>he goal of the VDT ITS</w:t>
      </w:r>
      <w:r w:rsidR="00CF1355" w:rsidRPr="00F92576">
        <w:t xml:space="preserve"> RFP and the resulting solution is to consolidate all taxes and associ</w:t>
      </w:r>
      <w:r w:rsidR="002C5526" w:rsidRPr="00F92576">
        <w:t>ated functions into a single integrated tax solution</w:t>
      </w:r>
      <w:r w:rsidR="00CF1355" w:rsidRPr="00F92576">
        <w:t>. Other legacy systems will all be phased out when the COTS solution is implemented and operating.</w:t>
      </w:r>
      <w:r w:rsidR="002C5526" w:rsidRPr="00F92576">
        <w:t xml:space="preserve">  The anticipated end state will:</w:t>
      </w:r>
    </w:p>
    <w:p w14:paraId="72F6099F" w14:textId="77777777" w:rsidR="00CF1355" w:rsidRDefault="003A11CA" w:rsidP="00F92576">
      <w:pPr>
        <w:pStyle w:val="TableBullet"/>
      </w:pPr>
      <w:r w:rsidRPr="00CF1355">
        <w:t>Merge all major tax types into a single</w:t>
      </w:r>
      <w:r w:rsidR="00CF1355">
        <w:t xml:space="preserve"> </w:t>
      </w:r>
      <w:r w:rsidRPr="00CF1355">
        <w:t>solution or an integrated set of modules</w:t>
      </w:r>
      <w:r w:rsidR="00CF1355">
        <w:t xml:space="preserve"> </w:t>
      </w:r>
      <w:r w:rsidRPr="00CF1355">
        <w:t>as soon as possible;</w:t>
      </w:r>
      <w:r w:rsidR="00CF1355">
        <w:t xml:space="preserve"> </w:t>
      </w:r>
      <w:r w:rsidRPr="00CF1355">
        <w:t xml:space="preserve"> </w:t>
      </w:r>
    </w:p>
    <w:p w14:paraId="72F609A0" w14:textId="77777777" w:rsidR="003A11CA" w:rsidRPr="00CF1355" w:rsidRDefault="003A11CA" w:rsidP="00F92576">
      <w:pPr>
        <w:pStyle w:val="TableBullet"/>
      </w:pPr>
      <w:r w:rsidRPr="00CF1355">
        <w:t>Provide a robust web interface for the</w:t>
      </w:r>
      <w:r w:rsidR="00CF1355">
        <w:t xml:space="preserve"> </w:t>
      </w:r>
      <w:r w:rsidRPr="00CF1355">
        <w:t>taxpayers to file returns and make</w:t>
      </w:r>
      <w:r w:rsidR="00CF1355">
        <w:t xml:space="preserve"> </w:t>
      </w:r>
      <w:r w:rsidRPr="00CF1355">
        <w:t>payments;</w:t>
      </w:r>
    </w:p>
    <w:p w14:paraId="72F609A1" w14:textId="77777777" w:rsidR="003A11CA" w:rsidRPr="00CF1355" w:rsidRDefault="00CF1355" w:rsidP="00F92576">
      <w:pPr>
        <w:pStyle w:val="TableBullet"/>
      </w:pPr>
      <w:r>
        <w:t>Allow tax</w:t>
      </w:r>
      <w:r w:rsidR="003A11CA" w:rsidRPr="00CF1355">
        <w:t>payers to be able to obtain</w:t>
      </w:r>
      <w:r>
        <w:t xml:space="preserve"> </w:t>
      </w:r>
      <w:r w:rsidR="003A11CA" w:rsidRPr="00CF1355">
        <w:t>information about their accounts (concept</w:t>
      </w:r>
      <w:r>
        <w:t xml:space="preserve"> </w:t>
      </w:r>
      <w:r w:rsidR="003A11CA" w:rsidRPr="00CF1355">
        <w:t>of self-service) via the web;</w:t>
      </w:r>
    </w:p>
    <w:p w14:paraId="72F609A2" w14:textId="77777777" w:rsidR="003A11CA" w:rsidRPr="00CF1355" w:rsidRDefault="003A11CA" w:rsidP="00F92576">
      <w:pPr>
        <w:pStyle w:val="TableBullet"/>
      </w:pPr>
      <w:r w:rsidRPr="00CF1355">
        <w:t>Use a well-tested product that has a</w:t>
      </w:r>
      <w:r w:rsidR="00CF1355">
        <w:t xml:space="preserve"> </w:t>
      </w:r>
      <w:r w:rsidRPr="00CF1355">
        <w:t>long-term future and can be easily</w:t>
      </w:r>
      <w:r w:rsidR="00CF1355">
        <w:t xml:space="preserve"> </w:t>
      </w:r>
      <w:r w:rsidRPr="00CF1355">
        <w:t>expanded to include future tax types;</w:t>
      </w:r>
    </w:p>
    <w:p w14:paraId="72F609A3" w14:textId="77777777" w:rsidR="003A11CA" w:rsidRPr="00CF1355" w:rsidRDefault="003A11CA" w:rsidP="00F92576">
      <w:pPr>
        <w:pStyle w:val="TableBullet"/>
      </w:pPr>
      <w:r w:rsidRPr="00CF1355">
        <w:t>Leverage the product’s existing</w:t>
      </w:r>
      <w:r w:rsidR="00CF1355">
        <w:t xml:space="preserve"> </w:t>
      </w:r>
      <w:r w:rsidRPr="00CF1355">
        <w:t>functionality by re-engineering manual</w:t>
      </w:r>
      <w:r w:rsidR="00CF1355">
        <w:t xml:space="preserve"> </w:t>
      </w:r>
      <w:r w:rsidRPr="00CF1355">
        <w:t>workflows and operations;</w:t>
      </w:r>
    </w:p>
    <w:p w14:paraId="72F609A4" w14:textId="77777777" w:rsidR="003A11CA" w:rsidRPr="00CF1355" w:rsidRDefault="003A11CA" w:rsidP="00F92576">
      <w:pPr>
        <w:pStyle w:val="TableBullet"/>
      </w:pPr>
      <w:r w:rsidRPr="00CF1355">
        <w:t>Be able to migrate to an X86 based</w:t>
      </w:r>
      <w:r w:rsidR="00CF1355">
        <w:t xml:space="preserve"> </w:t>
      </w:r>
      <w:r w:rsidRPr="00CF1355">
        <w:t>technical environment using mid-tier</w:t>
      </w:r>
      <w:r w:rsidR="00CF1355">
        <w:t xml:space="preserve"> </w:t>
      </w:r>
      <w:r w:rsidRPr="00CF1355">
        <w:t>servers in a virtual environment;</w:t>
      </w:r>
    </w:p>
    <w:p w14:paraId="72F609A5" w14:textId="77777777" w:rsidR="003A11CA" w:rsidRPr="00CF1355" w:rsidRDefault="003A11CA" w:rsidP="00F92576">
      <w:pPr>
        <w:pStyle w:val="TableBullet"/>
      </w:pPr>
      <w:r w:rsidRPr="00CF1355">
        <w:t>Provide a</w:t>
      </w:r>
      <w:r w:rsidR="00CF1355">
        <w:t xml:space="preserve"> single view of </w:t>
      </w:r>
      <w:r w:rsidR="002C5526">
        <w:t xml:space="preserve">each </w:t>
      </w:r>
      <w:r w:rsidR="00CF1355">
        <w:t>taxpayer, where</w:t>
      </w:r>
      <w:r w:rsidR="002C5526">
        <w:t xml:space="preserve"> tax</w:t>
      </w:r>
      <w:r w:rsidRPr="00CF1355">
        <w:t>payer data is available through one</w:t>
      </w:r>
      <w:r w:rsidR="00CF1355">
        <w:t xml:space="preserve"> </w:t>
      </w:r>
      <w:r w:rsidRPr="00CF1355">
        <w:t>search, report, and/or display screen;</w:t>
      </w:r>
      <w:r w:rsidR="00CF1355">
        <w:t xml:space="preserve"> </w:t>
      </w:r>
      <w:r w:rsidRPr="00CF1355">
        <w:t>and</w:t>
      </w:r>
    </w:p>
    <w:p w14:paraId="72F609A6" w14:textId="77777777" w:rsidR="003A11CA" w:rsidRPr="00CF1355" w:rsidRDefault="003A11CA" w:rsidP="00F92576">
      <w:pPr>
        <w:pStyle w:val="TableBullet"/>
      </w:pPr>
      <w:r w:rsidRPr="00CF1355">
        <w:t>Allow the State to shift its focus away</w:t>
      </w:r>
      <w:r w:rsidR="00CF1355">
        <w:t xml:space="preserve"> </w:t>
      </w:r>
      <w:r w:rsidRPr="00CF1355">
        <w:t>from internal staff developing and</w:t>
      </w:r>
      <w:r w:rsidR="00CF1355">
        <w:t xml:space="preserve"> </w:t>
      </w:r>
      <w:r w:rsidRPr="00CF1355">
        <w:t>supporting software.</w:t>
      </w:r>
    </w:p>
    <w:p w14:paraId="72F609A8" w14:textId="77777777" w:rsidR="00B74474" w:rsidRDefault="00B74474" w:rsidP="00B74474">
      <w:pPr>
        <w:pStyle w:val="Heading3"/>
      </w:pPr>
      <w:r>
        <w:t>Project Scope</w:t>
      </w:r>
    </w:p>
    <w:p w14:paraId="72F609AA" w14:textId="00DBFE80" w:rsidR="007A1312" w:rsidRDefault="00F92576" w:rsidP="00F92576">
      <w:pPr>
        <w:pStyle w:val="BodyText"/>
      </w:pPr>
      <w:r>
        <w:t xml:space="preserve">As outlined in the </w:t>
      </w:r>
      <w:r w:rsidRPr="00336ADC">
        <w:rPr>
          <w:b/>
        </w:rPr>
        <w:t xml:space="preserve">VDT RFP </w:t>
      </w:r>
      <w:r w:rsidR="00336ADC" w:rsidRPr="00336ADC">
        <w:rPr>
          <w:b/>
        </w:rPr>
        <w:t xml:space="preserve">Information Technology Request for Proposal (RFP) </w:t>
      </w:r>
      <w:r w:rsidRPr="00336ADC">
        <w:rPr>
          <w:b/>
        </w:rPr>
        <w:t>Vermont Department of Taxes</w:t>
      </w:r>
      <w:r w:rsidR="00336ADC" w:rsidRPr="00336ADC">
        <w:rPr>
          <w:b/>
        </w:rPr>
        <w:t xml:space="preserve"> </w:t>
      </w:r>
      <w:r w:rsidRPr="00336ADC">
        <w:rPr>
          <w:b/>
        </w:rPr>
        <w:t>Integrated Tax Solution</w:t>
      </w:r>
      <w:r w:rsidR="00336ADC">
        <w:t xml:space="preserve"> dated May 6, 2013, </w:t>
      </w:r>
      <w:r w:rsidR="007B3C95">
        <w:t>VDT is in the process of acquiring a COTS integrated tax solution to consolidate all tax types. An integrated solution</w:t>
      </w:r>
      <w:r w:rsidR="007A1312" w:rsidRPr="00673DA6">
        <w:t xml:space="preserve"> is an important objective for all tax departments</w:t>
      </w:r>
      <w:r w:rsidR="007B3C95">
        <w:t xml:space="preserve"> since it will bring together</w:t>
      </w:r>
      <w:r w:rsidR="007A1312" w:rsidRPr="00673DA6">
        <w:t xml:space="preserve"> taxes </w:t>
      </w:r>
      <w:r w:rsidR="007B3C95">
        <w:t>being</w:t>
      </w:r>
      <w:r w:rsidR="007A1312" w:rsidRPr="00673DA6">
        <w:t xml:space="preserve"> processed across</w:t>
      </w:r>
      <w:r w:rsidR="00673DA6">
        <w:t xml:space="preserve"> </w:t>
      </w:r>
      <w:r w:rsidR="007A1312" w:rsidRPr="00673DA6">
        <w:t xml:space="preserve">multiple, disparate computer systems and associated manual processes.  </w:t>
      </w:r>
      <w:r w:rsidR="007B3C95">
        <w:t>The project scope is to integrate</w:t>
      </w:r>
      <w:r w:rsidR="007A1312" w:rsidRPr="00673DA6">
        <w:t xml:space="preserve"> tax functions and processing, creating efficiencies</w:t>
      </w:r>
      <w:r w:rsidR="00673DA6">
        <w:t xml:space="preserve"> </w:t>
      </w:r>
      <w:r w:rsidR="007A1312" w:rsidRPr="00673DA6">
        <w:t>and benefits that the legacy systems environment in Vermont cannot provide. The chief benefit</w:t>
      </w:r>
      <w:r w:rsidR="00673DA6">
        <w:t xml:space="preserve"> </w:t>
      </w:r>
      <w:r w:rsidR="007A1312" w:rsidRPr="00673DA6">
        <w:t>is a single view of a taxpayer that eliminates the need to access separate systems for</w:t>
      </w:r>
      <w:r w:rsidR="00673DA6">
        <w:t xml:space="preserve"> </w:t>
      </w:r>
      <w:r w:rsidR="007A1312" w:rsidRPr="00673DA6">
        <w:t>information on a single entity.</w:t>
      </w:r>
    </w:p>
    <w:p w14:paraId="72F609AC" w14:textId="77777777" w:rsidR="006B178D" w:rsidRDefault="007B3C95" w:rsidP="00F92576">
      <w:pPr>
        <w:pStyle w:val="BodyText"/>
      </w:pPr>
      <w:r>
        <w:t xml:space="preserve">Included in the project scope </w:t>
      </w:r>
      <w:r w:rsidR="007A1312" w:rsidRPr="00673DA6">
        <w:t xml:space="preserve">will </w:t>
      </w:r>
      <w:r>
        <w:t>be the re-examine of VDT</w:t>
      </w:r>
      <w:r w:rsidR="007A1312" w:rsidRPr="00673DA6">
        <w:t xml:space="preserve"> business processes with a goal of standardizing them to practices utilized</w:t>
      </w:r>
      <w:r w:rsidR="00673DA6">
        <w:t xml:space="preserve"> </w:t>
      </w:r>
      <w:r w:rsidR="007A1312" w:rsidRPr="00673DA6">
        <w:t>in other states. This may require that the VDT re-engineer its pr</w:t>
      </w:r>
      <w:r>
        <w:t>ocesses in order to realize work</w:t>
      </w:r>
      <w:r w:rsidR="007A1312" w:rsidRPr="00673DA6">
        <w:t>flow efficiencies. Finally, a COTS product that is designed to administer all VDT taxes from one</w:t>
      </w:r>
      <w:r w:rsidR="00673DA6">
        <w:t xml:space="preserve"> </w:t>
      </w:r>
      <w:r w:rsidR="007A1312" w:rsidRPr="00673DA6">
        <w:t>centralized system allows the department to leverage a benefits based funding model. A COTS</w:t>
      </w:r>
      <w:r w:rsidR="00673DA6">
        <w:t xml:space="preserve"> </w:t>
      </w:r>
      <w:r w:rsidR="007A1312" w:rsidRPr="00673DA6">
        <w:t>ITS allows VDT to capitalize on potential efficiencies, improve customer service, reduce system</w:t>
      </w:r>
      <w:r w:rsidR="00514AB7">
        <w:t xml:space="preserve"> </w:t>
      </w:r>
      <w:r w:rsidR="00514AB7" w:rsidRPr="00514AB7">
        <w:t>performance problems, and increase revenue (through improved tax collection).</w:t>
      </w:r>
    </w:p>
    <w:p w14:paraId="72F60A3B" w14:textId="48F678E4" w:rsidR="00995A1E" w:rsidRDefault="00CE6879" w:rsidP="00F92576">
      <w:pPr>
        <w:pStyle w:val="BodyText"/>
      </w:pPr>
      <w:r>
        <w:t xml:space="preserve">FAST is proposing a COTS ITS solution with an </w:t>
      </w:r>
      <w:r w:rsidR="00995A1E">
        <w:t xml:space="preserve">implementation plan </w:t>
      </w:r>
      <w:r>
        <w:t xml:space="preserve">that </w:t>
      </w:r>
      <w:r w:rsidR="00995A1E">
        <w:t xml:space="preserve">is composed of three phases, the third phase </w:t>
      </w:r>
      <w:r w:rsidR="00FF1312">
        <w:t xml:space="preserve">has </w:t>
      </w:r>
      <w:r w:rsidR="00995A1E">
        <w:t>two components, 3a and 3b.  The ph</w:t>
      </w:r>
      <w:r w:rsidR="003E7505">
        <w:t xml:space="preserve">ases relate to four targeted rollouts, each rollout anticipated to take 12 months.  Currently the project plan has </w:t>
      </w:r>
      <w:r w:rsidR="00FF1312">
        <w:t xml:space="preserve">subsequent rollouts </w:t>
      </w:r>
      <w:r w:rsidR="003E7505">
        <w:t xml:space="preserve">occurring </w:t>
      </w:r>
      <w:r w:rsidR="00FF1312">
        <w:t xml:space="preserve">immediately </w:t>
      </w:r>
      <w:r w:rsidR="003E7505">
        <w:t>after the prior rollout completes.</w:t>
      </w:r>
    </w:p>
    <w:p w14:paraId="59539295" w14:textId="06B8B53D" w:rsidR="00FF1312" w:rsidRDefault="00FF1312" w:rsidP="008B7BA0">
      <w:pPr>
        <w:pStyle w:val="Heading4"/>
      </w:pPr>
      <w:r>
        <w:t>Table 5 – Phased Rollout Scope</w:t>
      </w:r>
    </w:p>
    <w:p w14:paraId="15515B73" w14:textId="77777777" w:rsidR="00016846" w:rsidRDefault="00016846" w:rsidP="00016846"/>
    <w:p w14:paraId="458027F2" w14:textId="354AE574" w:rsidR="00016846" w:rsidRPr="00753B01" w:rsidRDefault="00016846" w:rsidP="008726AF">
      <w:pPr>
        <w:pStyle w:val="BodyText"/>
        <w:rPr>
          <w:b/>
          <w:i/>
          <w:iCs/>
          <w:color w:val="0000FF"/>
          <w:sz w:val="20"/>
        </w:rPr>
      </w:pPr>
      <w:r w:rsidRPr="00016846">
        <w:rPr>
          <w:b/>
          <w:i/>
          <w:iCs/>
          <w:color w:val="0000FF"/>
          <w:sz w:val="20"/>
        </w:rPr>
        <w:t xml:space="preserve"> </w:t>
      </w:r>
      <w:r w:rsidRPr="00753B01">
        <w:rPr>
          <w:b/>
          <w:i/>
          <w:iCs/>
          <w:color w:val="0000FF"/>
          <w:sz w:val="20"/>
        </w:rPr>
        <w:t>Note that this rollout timing reflects an update received during the December 12</w:t>
      </w:r>
      <w:r w:rsidRPr="00753B01">
        <w:rPr>
          <w:b/>
          <w:i/>
          <w:iCs/>
          <w:color w:val="0000FF"/>
          <w:sz w:val="20"/>
          <w:vertAlign w:val="superscript"/>
        </w:rPr>
        <w:t>th</w:t>
      </w:r>
      <w:r w:rsidRPr="00753B01">
        <w:rPr>
          <w:b/>
          <w:i/>
          <w:iCs/>
          <w:color w:val="0000FF"/>
          <w:sz w:val="20"/>
        </w:rPr>
        <w:t xml:space="preserve"> review session with VDT and DII.</w:t>
      </w:r>
    </w:p>
    <w:tbl>
      <w:tblPr>
        <w:tblStyle w:val="TableGrid"/>
        <w:tblW w:w="0" w:type="auto"/>
        <w:tblLook w:val="00A0" w:firstRow="1" w:lastRow="0" w:firstColumn="1" w:lastColumn="0" w:noHBand="0" w:noVBand="0"/>
      </w:tblPr>
      <w:tblGrid>
        <w:gridCol w:w="4514"/>
        <w:gridCol w:w="4515"/>
      </w:tblGrid>
      <w:tr w:rsidR="00016846" w:rsidRPr="0051590D" w14:paraId="4FBE0D6B" w14:textId="77777777" w:rsidTr="00016846">
        <w:trPr>
          <w:cantSplit/>
        </w:trPr>
        <w:tc>
          <w:tcPr>
            <w:tcW w:w="4514" w:type="dxa"/>
            <w:shd w:val="clear" w:color="auto" w:fill="E0E0E0"/>
          </w:tcPr>
          <w:p w14:paraId="60895BEF"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Phase 1 – Rollout 1 (12 months)</w:t>
            </w:r>
          </w:p>
        </w:tc>
        <w:tc>
          <w:tcPr>
            <w:tcW w:w="4515" w:type="dxa"/>
            <w:shd w:val="clear" w:color="auto" w:fill="E0E0E0"/>
          </w:tcPr>
          <w:p w14:paraId="1098C4AE"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Phase 2 – Rollout 2 (12 months)</w:t>
            </w:r>
          </w:p>
        </w:tc>
      </w:tr>
      <w:tr w:rsidR="00016846" w:rsidRPr="0051590D" w14:paraId="5C2D34F9" w14:textId="77777777" w:rsidTr="00016846">
        <w:trPr>
          <w:cantSplit/>
        </w:trPr>
        <w:tc>
          <w:tcPr>
            <w:tcW w:w="4514" w:type="dxa"/>
            <w:tcBorders>
              <w:bottom w:val="single" w:sz="4" w:space="0" w:color="auto"/>
            </w:tcBorders>
          </w:tcPr>
          <w:p w14:paraId="4915A347"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Corporate Income Tax</w:t>
            </w:r>
          </w:p>
          <w:p w14:paraId="5E25B9BA"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Business Income Tax</w:t>
            </w:r>
          </w:p>
          <w:p w14:paraId="6852F3BA"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Fuel Gross Receipts</w:t>
            </w:r>
          </w:p>
          <w:p w14:paraId="515D1AA2"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Property Transfer Tax</w:t>
            </w:r>
          </w:p>
          <w:p w14:paraId="7BD3A08D"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Non-Resident Withholding</w:t>
            </w:r>
          </w:p>
        </w:tc>
        <w:tc>
          <w:tcPr>
            <w:tcW w:w="4515" w:type="dxa"/>
            <w:tcBorders>
              <w:bottom w:val="single" w:sz="4" w:space="0" w:color="auto"/>
            </w:tcBorders>
          </w:tcPr>
          <w:p w14:paraId="00C32A0D"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w:t>
            </w:r>
            <w:r>
              <w:rPr>
                <w:rFonts w:cs="Arial"/>
                <w:i/>
                <w:color w:val="0000FF"/>
                <w:sz w:val="18"/>
                <w:szCs w:val="18"/>
              </w:rPr>
              <w:t xml:space="preserve"> </w:t>
            </w:r>
            <w:r w:rsidRPr="0051590D">
              <w:rPr>
                <w:rFonts w:cs="Arial"/>
                <w:i/>
                <w:color w:val="0000FF"/>
                <w:sz w:val="18"/>
                <w:szCs w:val="18"/>
              </w:rPr>
              <w:t>Sales and Use Tax</w:t>
            </w:r>
          </w:p>
          <w:p w14:paraId="5A30ECB1"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Meals and Rooms Tax</w:t>
            </w:r>
          </w:p>
          <w:p w14:paraId="21F53671"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Local Option Sales Tax</w:t>
            </w:r>
          </w:p>
          <w:p w14:paraId="573660D2"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Local Option Meals and Room Tax</w:t>
            </w:r>
          </w:p>
        </w:tc>
      </w:tr>
      <w:tr w:rsidR="00016846" w:rsidRPr="0051590D" w14:paraId="0287B8F2" w14:textId="77777777" w:rsidTr="00016846">
        <w:trPr>
          <w:cantSplit/>
        </w:trPr>
        <w:tc>
          <w:tcPr>
            <w:tcW w:w="4514" w:type="dxa"/>
            <w:shd w:val="clear" w:color="auto" w:fill="E0E0E0"/>
          </w:tcPr>
          <w:p w14:paraId="10B40635"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Phase 3a – Rollout 3 (12 months)</w:t>
            </w:r>
          </w:p>
        </w:tc>
        <w:tc>
          <w:tcPr>
            <w:tcW w:w="4515" w:type="dxa"/>
            <w:shd w:val="clear" w:color="auto" w:fill="E0E0E0"/>
          </w:tcPr>
          <w:p w14:paraId="655ED7BF"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Phase 3b – Rollout 4 (12 months)</w:t>
            </w:r>
          </w:p>
        </w:tc>
      </w:tr>
      <w:tr w:rsidR="00016846" w:rsidRPr="0051590D" w14:paraId="3CE7A677" w14:textId="77777777" w:rsidTr="00016846">
        <w:trPr>
          <w:cantSplit/>
        </w:trPr>
        <w:tc>
          <w:tcPr>
            <w:tcW w:w="4514" w:type="dxa"/>
          </w:tcPr>
          <w:p w14:paraId="2BCEC760"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Corporate Income Tax</w:t>
            </w:r>
          </w:p>
          <w:p w14:paraId="36C36ED7"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Personal Income Tax</w:t>
            </w:r>
          </w:p>
          <w:p w14:paraId="02800B1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xml:space="preserve">    o Renter’s rebate</w:t>
            </w:r>
          </w:p>
          <w:p w14:paraId="05365B2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xml:space="preserve">    o Real estate withholding</w:t>
            </w:r>
          </w:p>
          <w:p w14:paraId="1153D34C"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xml:space="preserve">    o Property Tax Rebate</w:t>
            </w:r>
          </w:p>
          <w:p w14:paraId="57DDB2D6"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Payroll Withholding</w:t>
            </w:r>
          </w:p>
          <w:p w14:paraId="6F229B16"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Non-Resident Withholding</w:t>
            </w:r>
          </w:p>
          <w:p w14:paraId="1DA48D56"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Non-Game Wildlife (fund)</w:t>
            </w:r>
          </w:p>
          <w:p w14:paraId="4CCED6E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Children's Trust (fund)</w:t>
            </w:r>
          </w:p>
          <w:p w14:paraId="36178B1A" w14:textId="77777777" w:rsidR="00016846"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Vermont Veteran's (fund)</w:t>
            </w:r>
          </w:p>
          <w:p w14:paraId="404031D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Cigarette Tax</w:t>
            </w:r>
          </w:p>
          <w:p w14:paraId="79C51DA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Tobacco Products Tax</w:t>
            </w:r>
          </w:p>
          <w:p w14:paraId="1A0FAF5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Fiduciary</w:t>
            </w:r>
          </w:p>
          <w:p w14:paraId="66C67971"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Estate Tax</w:t>
            </w:r>
          </w:p>
          <w:p w14:paraId="672DBFE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Beverage Tax</w:t>
            </w:r>
          </w:p>
          <w:p w14:paraId="61284202"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Bank Franchise Tax</w:t>
            </w:r>
          </w:p>
        </w:tc>
        <w:tc>
          <w:tcPr>
            <w:tcW w:w="4515" w:type="dxa"/>
          </w:tcPr>
          <w:p w14:paraId="607923F0"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Insurance Tax</w:t>
            </w:r>
          </w:p>
          <w:p w14:paraId="2264868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Captive Insurance Tax</w:t>
            </w:r>
          </w:p>
          <w:p w14:paraId="0589C8CE"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Telephone Property Tax</w:t>
            </w:r>
          </w:p>
          <w:p w14:paraId="11E93F8F"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Electric Energy Tax</w:t>
            </w:r>
          </w:p>
          <w:p w14:paraId="3C3817AF"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Solid Waste Tax</w:t>
            </w:r>
          </w:p>
          <w:p w14:paraId="4EF15A0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EEE Property Tax</w:t>
            </w:r>
          </w:p>
          <w:p w14:paraId="1C17CD5C"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Fire Training Tax</w:t>
            </w:r>
          </w:p>
          <w:p w14:paraId="582DFDD7"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Land Gains Tax</w:t>
            </w:r>
          </w:p>
          <w:p w14:paraId="776FFC84"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Floor Stock Tax</w:t>
            </w:r>
          </w:p>
          <w:p w14:paraId="1E3744DF"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Tax-Def-Gen Special Fund</w:t>
            </w:r>
          </w:p>
          <w:p w14:paraId="4959EEA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Land Use Change Tax</w:t>
            </w:r>
          </w:p>
          <w:p w14:paraId="1A25A675"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Hazardous Waste Tax</w:t>
            </w:r>
          </w:p>
          <w:p w14:paraId="316FA0E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Telephone Company Tax</w:t>
            </w:r>
          </w:p>
          <w:p w14:paraId="227CCC49"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Railroad Company Tax</w:t>
            </w:r>
          </w:p>
          <w:p w14:paraId="28B5C47E"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Wind Property Tax</w:t>
            </w:r>
          </w:p>
          <w:p w14:paraId="603FE38C"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Tax-Break-Open Ticket License Fee</w:t>
            </w:r>
          </w:p>
          <w:p w14:paraId="0E096088"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Court Cost Recovery</w:t>
            </w:r>
          </w:p>
          <w:p w14:paraId="18C8FFC0" w14:textId="77777777" w:rsidR="00016846" w:rsidRPr="0051590D" w:rsidRDefault="00016846" w:rsidP="00016846">
            <w:pPr>
              <w:widowControl w:val="0"/>
              <w:autoSpaceDE w:val="0"/>
              <w:autoSpaceDN w:val="0"/>
              <w:adjustRightInd w:val="0"/>
              <w:rPr>
                <w:rFonts w:cs="Arial"/>
                <w:i/>
                <w:color w:val="0000FF"/>
                <w:sz w:val="18"/>
                <w:szCs w:val="18"/>
              </w:rPr>
            </w:pPr>
            <w:r w:rsidRPr="0051590D">
              <w:rPr>
                <w:rFonts w:cs="Arial"/>
                <w:i/>
                <w:color w:val="0000FF"/>
                <w:sz w:val="18"/>
                <w:szCs w:val="18"/>
              </w:rPr>
              <w:t>• Solar Tax</w:t>
            </w:r>
          </w:p>
          <w:p w14:paraId="72082105" w14:textId="77777777" w:rsidR="00016846" w:rsidRPr="0051590D" w:rsidRDefault="00016846" w:rsidP="00016846">
            <w:pPr>
              <w:pStyle w:val="BodyText"/>
              <w:rPr>
                <w:rFonts w:cs="Arial"/>
                <w:i/>
                <w:color w:val="0000FF"/>
                <w:sz w:val="18"/>
                <w:szCs w:val="18"/>
              </w:rPr>
            </w:pPr>
            <w:r w:rsidRPr="0051590D">
              <w:rPr>
                <w:rFonts w:cs="Arial"/>
                <w:i/>
                <w:color w:val="0000FF"/>
                <w:sz w:val="18"/>
                <w:szCs w:val="18"/>
              </w:rPr>
              <w:t>• New/Future Tax Types</w:t>
            </w:r>
          </w:p>
        </w:tc>
      </w:tr>
    </w:tbl>
    <w:p w14:paraId="72F60A3F" w14:textId="77777777" w:rsidR="00B74474" w:rsidRPr="00B74474" w:rsidRDefault="00B74474" w:rsidP="00B74474">
      <w:pPr>
        <w:pStyle w:val="Heading3"/>
      </w:pPr>
      <w:r>
        <w:t>Payment Terms</w:t>
      </w:r>
    </w:p>
    <w:p w14:paraId="72F60A41" w14:textId="2CBA04A1" w:rsidR="00B52DC0" w:rsidRPr="00D94F42" w:rsidRDefault="00A33268" w:rsidP="00B52DC0">
      <w:pPr>
        <w:widowControl w:val="0"/>
        <w:autoSpaceDE w:val="0"/>
        <w:autoSpaceDN w:val="0"/>
        <w:adjustRightInd w:val="0"/>
      </w:pPr>
      <w:r>
        <w:t xml:space="preserve">The table below describes the proposed payment terms based upon the </w:t>
      </w:r>
      <w:r w:rsidR="00FF1312">
        <w:t>FAST proposal</w:t>
      </w:r>
      <w:r w:rsidR="00AF71B9">
        <w:t>.  Estimated Invoice Dates have been changed to be relative to the start of the project.</w:t>
      </w:r>
      <w:r w:rsidR="000220F0">
        <w:t xml:space="preserve">  This schedule will be modified upon finalization of the benefits-based implementation contract.</w:t>
      </w:r>
    </w:p>
    <w:p w14:paraId="72F60A42" w14:textId="32187874" w:rsidR="00FC2F5B" w:rsidRDefault="00FF1312" w:rsidP="008B7BA0">
      <w:pPr>
        <w:pStyle w:val="Heading4"/>
      </w:pPr>
      <w:r>
        <w:t>Table 6 – FAST Milestone Payment Schedule</w:t>
      </w:r>
    </w:p>
    <w:p w14:paraId="028479AD" w14:textId="77777777" w:rsidR="00FF1312" w:rsidRPr="00545647" w:rsidRDefault="00FF1312" w:rsidP="00FF1312">
      <w:pPr>
        <w:pStyle w:val="BodyText"/>
        <w:rPr>
          <w:sz w:val="12"/>
          <w:szCs w:val="12"/>
        </w:rPr>
      </w:pPr>
    </w:p>
    <w:tbl>
      <w:tblPr>
        <w:tblStyle w:val="TableGrid"/>
        <w:tblW w:w="0" w:type="auto"/>
        <w:tblLook w:val="00A0" w:firstRow="1" w:lastRow="0" w:firstColumn="1" w:lastColumn="0" w:noHBand="0" w:noVBand="0"/>
      </w:tblPr>
      <w:tblGrid>
        <w:gridCol w:w="3528"/>
        <w:gridCol w:w="3150"/>
        <w:gridCol w:w="2351"/>
      </w:tblGrid>
      <w:tr w:rsidR="00FC2F5B" w:rsidRPr="008B7BA0" w14:paraId="72F60A46" w14:textId="77777777" w:rsidTr="000220F0">
        <w:trPr>
          <w:tblHeader/>
        </w:trPr>
        <w:tc>
          <w:tcPr>
            <w:tcW w:w="3528" w:type="dxa"/>
            <w:shd w:val="clear" w:color="auto" w:fill="BFBFBF" w:themeFill="background1" w:themeFillShade="BF"/>
          </w:tcPr>
          <w:p w14:paraId="72F60A43" w14:textId="77777777" w:rsidR="00FC2F5B" w:rsidRPr="008B7BA0" w:rsidRDefault="00FC2F5B" w:rsidP="005272AE">
            <w:pPr>
              <w:widowControl w:val="0"/>
              <w:autoSpaceDE w:val="0"/>
              <w:autoSpaceDN w:val="0"/>
              <w:adjustRightInd w:val="0"/>
              <w:rPr>
                <w:rFonts w:cs="Arial"/>
                <w:b/>
                <w:sz w:val="18"/>
                <w:szCs w:val="18"/>
              </w:rPr>
            </w:pPr>
            <w:r w:rsidRPr="008B7BA0">
              <w:rPr>
                <w:rFonts w:cs="Arial"/>
                <w:b/>
                <w:sz w:val="18"/>
                <w:szCs w:val="18"/>
              </w:rPr>
              <w:t>Payment Milestone</w:t>
            </w:r>
          </w:p>
        </w:tc>
        <w:tc>
          <w:tcPr>
            <w:tcW w:w="3150" w:type="dxa"/>
            <w:shd w:val="clear" w:color="auto" w:fill="BFBFBF" w:themeFill="background1" w:themeFillShade="BF"/>
          </w:tcPr>
          <w:p w14:paraId="72F60A44" w14:textId="77777777" w:rsidR="00FC2F5B" w:rsidRPr="008B7BA0" w:rsidRDefault="00FC2F5B" w:rsidP="00FF1312">
            <w:pPr>
              <w:widowControl w:val="0"/>
              <w:autoSpaceDE w:val="0"/>
              <w:autoSpaceDN w:val="0"/>
              <w:adjustRightInd w:val="0"/>
              <w:jc w:val="center"/>
              <w:rPr>
                <w:rFonts w:cs="Arial"/>
                <w:b/>
                <w:sz w:val="18"/>
                <w:szCs w:val="18"/>
              </w:rPr>
            </w:pPr>
            <w:r w:rsidRPr="008B7BA0">
              <w:rPr>
                <w:rFonts w:cs="Arial"/>
                <w:b/>
                <w:sz w:val="18"/>
                <w:szCs w:val="18"/>
              </w:rPr>
              <w:t>Estimated Invoice Date</w:t>
            </w:r>
          </w:p>
        </w:tc>
        <w:tc>
          <w:tcPr>
            <w:tcW w:w="2351" w:type="dxa"/>
            <w:shd w:val="clear" w:color="auto" w:fill="BFBFBF" w:themeFill="background1" w:themeFillShade="BF"/>
          </w:tcPr>
          <w:p w14:paraId="72F60A45" w14:textId="77777777" w:rsidR="00FC2F5B" w:rsidRPr="008B7BA0" w:rsidRDefault="00FC2F5B" w:rsidP="005272AE">
            <w:pPr>
              <w:jc w:val="right"/>
              <w:rPr>
                <w:rFonts w:cs="Arial"/>
                <w:b/>
                <w:sz w:val="18"/>
                <w:szCs w:val="18"/>
              </w:rPr>
            </w:pPr>
            <w:r w:rsidRPr="008B7BA0">
              <w:rPr>
                <w:rFonts w:cs="Arial"/>
                <w:b/>
                <w:sz w:val="18"/>
                <w:szCs w:val="18"/>
              </w:rPr>
              <w:t>Invoice Amount</w:t>
            </w:r>
          </w:p>
        </w:tc>
      </w:tr>
      <w:tr w:rsidR="00FC2F5B" w:rsidRPr="008B7BA0" w14:paraId="72F60A4A" w14:textId="77777777" w:rsidTr="008B7BA0">
        <w:tc>
          <w:tcPr>
            <w:tcW w:w="3528" w:type="dxa"/>
          </w:tcPr>
          <w:p w14:paraId="72F60A47" w14:textId="77777777" w:rsidR="00FC2F5B" w:rsidRPr="008B7BA0" w:rsidRDefault="00FC2F5B" w:rsidP="00FC2F5B">
            <w:pPr>
              <w:widowControl w:val="0"/>
              <w:autoSpaceDE w:val="0"/>
              <w:autoSpaceDN w:val="0"/>
              <w:adjustRightInd w:val="0"/>
              <w:rPr>
                <w:rFonts w:cs="Arial"/>
                <w:sz w:val="18"/>
                <w:szCs w:val="18"/>
              </w:rPr>
            </w:pPr>
            <w:r w:rsidRPr="008B7BA0">
              <w:rPr>
                <w:rFonts w:cs="Arial"/>
                <w:sz w:val="18"/>
                <w:szCs w:val="18"/>
              </w:rPr>
              <w:t>GenTax Installation</w:t>
            </w:r>
          </w:p>
        </w:tc>
        <w:tc>
          <w:tcPr>
            <w:tcW w:w="3150" w:type="dxa"/>
          </w:tcPr>
          <w:p w14:paraId="72F60A48" w14:textId="77777777" w:rsidR="00FC2F5B"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1</w:t>
            </w:r>
          </w:p>
        </w:tc>
        <w:tc>
          <w:tcPr>
            <w:tcW w:w="2351" w:type="dxa"/>
          </w:tcPr>
          <w:p w14:paraId="72F60A49" w14:textId="77777777" w:rsidR="00FC2F5B" w:rsidRPr="008B7BA0" w:rsidRDefault="00C9213D" w:rsidP="008B7A26">
            <w:pPr>
              <w:widowControl w:val="0"/>
              <w:autoSpaceDE w:val="0"/>
              <w:autoSpaceDN w:val="0"/>
              <w:adjustRightInd w:val="0"/>
              <w:jc w:val="right"/>
              <w:rPr>
                <w:rFonts w:cs="Arial"/>
                <w:sz w:val="18"/>
                <w:szCs w:val="18"/>
              </w:rPr>
            </w:pPr>
            <w:r w:rsidRPr="008B7BA0">
              <w:rPr>
                <w:rFonts w:cs="Arial"/>
                <w:sz w:val="18"/>
                <w:szCs w:val="18"/>
              </w:rPr>
              <w:t>$4,200,000</w:t>
            </w:r>
          </w:p>
        </w:tc>
      </w:tr>
      <w:tr w:rsidR="00FC2F5B" w:rsidRPr="008B7BA0" w14:paraId="72F60A4E" w14:textId="77777777" w:rsidTr="005272AE">
        <w:tc>
          <w:tcPr>
            <w:tcW w:w="3528" w:type="dxa"/>
            <w:tcBorders>
              <w:bottom w:val="single" w:sz="4" w:space="0" w:color="auto"/>
            </w:tcBorders>
          </w:tcPr>
          <w:p w14:paraId="72F60A4B" w14:textId="77777777" w:rsidR="00FC2F5B" w:rsidRPr="008B7BA0" w:rsidRDefault="00FC2F5B" w:rsidP="00FC2F5B">
            <w:pPr>
              <w:widowControl w:val="0"/>
              <w:autoSpaceDE w:val="0"/>
              <w:autoSpaceDN w:val="0"/>
              <w:adjustRightInd w:val="0"/>
              <w:rPr>
                <w:rFonts w:cs="Arial"/>
                <w:sz w:val="18"/>
                <w:szCs w:val="18"/>
              </w:rPr>
            </w:pPr>
            <w:r w:rsidRPr="008B7BA0">
              <w:rPr>
                <w:rFonts w:cs="Arial"/>
                <w:sz w:val="18"/>
                <w:szCs w:val="18"/>
              </w:rPr>
              <w:t>Hardware and 3rd Party Software</w:t>
            </w:r>
          </w:p>
        </w:tc>
        <w:tc>
          <w:tcPr>
            <w:tcW w:w="3150" w:type="dxa"/>
            <w:tcBorders>
              <w:bottom w:val="single" w:sz="4" w:space="0" w:color="auto"/>
            </w:tcBorders>
          </w:tcPr>
          <w:p w14:paraId="72F60A4C" w14:textId="77777777" w:rsidR="00FC2F5B"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1</w:t>
            </w:r>
          </w:p>
        </w:tc>
        <w:tc>
          <w:tcPr>
            <w:tcW w:w="2351" w:type="dxa"/>
            <w:tcBorders>
              <w:bottom w:val="single" w:sz="4" w:space="0" w:color="auto"/>
            </w:tcBorders>
          </w:tcPr>
          <w:p w14:paraId="72F60A4D" w14:textId="77777777" w:rsidR="00FC2F5B" w:rsidRPr="008B7BA0" w:rsidRDefault="00C9213D" w:rsidP="008B7A26">
            <w:pPr>
              <w:widowControl w:val="0"/>
              <w:autoSpaceDE w:val="0"/>
              <w:autoSpaceDN w:val="0"/>
              <w:adjustRightInd w:val="0"/>
              <w:jc w:val="right"/>
              <w:rPr>
                <w:rFonts w:cs="Arial"/>
                <w:sz w:val="18"/>
                <w:szCs w:val="18"/>
              </w:rPr>
            </w:pPr>
            <w:r w:rsidRPr="008B7BA0">
              <w:rPr>
                <w:rFonts w:cs="Arial"/>
                <w:sz w:val="18"/>
                <w:szCs w:val="18"/>
              </w:rPr>
              <w:t>$630,850</w:t>
            </w:r>
          </w:p>
        </w:tc>
      </w:tr>
      <w:tr w:rsidR="00FC2F5B" w:rsidRPr="008B7BA0" w14:paraId="72F60A52" w14:textId="77777777" w:rsidTr="005272AE">
        <w:tc>
          <w:tcPr>
            <w:tcW w:w="3528" w:type="dxa"/>
            <w:shd w:val="clear" w:color="auto" w:fill="BFBFBF" w:themeFill="background1" w:themeFillShade="BF"/>
          </w:tcPr>
          <w:p w14:paraId="72F60A4F" w14:textId="77777777" w:rsidR="00FC2F5B" w:rsidRPr="009D1286" w:rsidRDefault="00FC2F5B" w:rsidP="00FC2F5B">
            <w:pPr>
              <w:widowControl w:val="0"/>
              <w:autoSpaceDE w:val="0"/>
              <w:autoSpaceDN w:val="0"/>
              <w:adjustRightInd w:val="0"/>
              <w:rPr>
                <w:rFonts w:cs="Arial"/>
                <w:b/>
                <w:sz w:val="18"/>
                <w:szCs w:val="18"/>
              </w:rPr>
            </w:pPr>
            <w:r w:rsidRPr="009D1286">
              <w:rPr>
                <w:rFonts w:cs="Arial"/>
                <w:b/>
                <w:sz w:val="18"/>
                <w:szCs w:val="18"/>
              </w:rPr>
              <w:t>Rollout One</w:t>
            </w:r>
          </w:p>
        </w:tc>
        <w:tc>
          <w:tcPr>
            <w:tcW w:w="3150" w:type="dxa"/>
            <w:shd w:val="clear" w:color="auto" w:fill="BFBFBF" w:themeFill="background1" w:themeFillShade="BF"/>
          </w:tcPr>
          <w:p w14:paraId="72F60A50" w14:textId="77777777" w:rsidR="00FC2F5B" w:rsidRPr="008B7BA0" w:rsidRDefault="00FC2F5B"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51" w14:textId="77777777" w:rsidR="00FC2F5B" w:rsidRPr="008B7BA0" w:rsidRDefault="00FC2F5B" w:rsidP="008B7A26">
            <w:pPr>
              <w:widowControl w:val="0"/>
              <w:autoSpaceDE w:val="0"/>
              <w:autoSpaceDN w:val="0"/>
              <w:adjustRightInd w:val="0"/>
              <w:jc w:val="right"/>
              <w:rPr>
                <w:rFonts w:cs="Arial"/>
                <w:sz w:val="18"/>
                <w:szCs w:val="18"/>
              </w:rPr>
            </w:pPr>
          </w:p>
        </w:tc>
      </w:tr>
      <w:tr w:rsidR="00FC2F5B" w:rsidRPr="008B7BA0" w14:paraId="72F60A56" w14:textId="77777777" w:rsidTr="008B7BA0">
        <w:tc>
          <w:tcPr>
            <w:tcW w:w="3528" w:type="dxa"/>
          </w:tcPr>
          <w:p w14:paraId="72F60A53"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Complete One-time Planning Tasks</w:t>
            </w:r>
          </w:p>
        </w:tc>
        <w:tc>
          <w:tcPr>
            <w:tcW w:w="3150" w:type="dxa"/>
          </w:tcPr>
          <w:p w14:paraId="72F60A54" w14:textId="77777777" w:rsidR="00FC2F5B"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3</w:t>
            </w:r>
          </w:p>
        </w:tc>
        <w:tc>
          <w:tcPr>
            <w:tcW w:w="2351" w:type="dxa"/>
          </w:tcPr>
          <w:p w14:paraId="72F60A55"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$348,750</w:t>
            </w:r>
          </w:p>
        </w:tc>
      </w:tr>
      <w:tr w:rsidR="00FC2F5B" w:rsidRPr="008B7BA0" w14:paraId="72F60A5A" w14:textId="77777777" w:rsidTr="008B7BA0">
        <w:tc>
          <w:tcPr>
            <w:tcW w:w="3528" w:type="dxa"/>
          </w:tcPr>
          <w:p w14:paraId="72F60A57"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Testing Start</w:t>
            </w:r>
          </w:p>
        </w:tc>
        <w:tc>
          <w:tcPr>
            <w:tcW w:w="3150" w:type="dxa"/>
          </w:tcPr>
          <w:p w14:paraId="72F60A58" w14:textId="77777777" w:rsidR="00FC2F5B"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8</w:t>
            </w:r>
          </w:p>
        </w:tc>
        <w:tc>
          <w:tcPr>
            <w:tcW w:w="2351" w:type="dxa"/>
          </w:tcPr>
          <w:p w14:paraId="72F60A59"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$2,557,500</w:t>
            </w:r>
          </w:p>
        </w:tc>
      </w:tr>
      <w:tr w:rsidR="00FC2F5B" w:rsidRPr="008B7BA0" w14:paraId="72F60A5E" w14:textId="77777777" w:rsidTr="005272AE">
        <w:tc>
          <w:tcPr>
            <w:tcW w:w="3528" w:type="dxa"/>
            <w:tcBorders>
              <w:bottom w:val="single" w:sz="4" w:space="0" w:color="auto"/>
            </w:tcBorders>
          </w:tcPr>
          <w:p w14:paraId="72F60A5B"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Production Cutover</w:t>
            </w:r>
          </w:p>
        </w:tc>
        <w:tc>
          <w:tcPr>
            <w:tcW w:w="3150" w:type="dxa"/>
            <w:tcBorders>
              <w:bottom w:val="single" w:sz="4" w:space="0" w:color="auto"/>
            </w:tcBorders>
          </w:tcPr>
          <w:p w14:paraId="72F60A5C" w14:textId="77777777" w:rsidR="00FC2F5B"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12</w:t>
            </w:r>
          </w:p>
        </w:tc>
        <w:tc>
          <w:tcPr>
            <w:tcW w:w="2351" w:type="dxa"/>
            <w:tcBorders>
              <w:bottom w:val="single" w:sz="4" w:space="0" w:color="auto"/>
            </w:tcBorders>
          </w:tcPr>
          <w:p w14:paraId="72F60A5D"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$1,889,063</w:t>
            </w:r>
          </w:p>
        </w:tc>
      </w:tr>
      <w:tr w:rsidR="008B7A26" w:rsidRPr="008B7BA0" w14:paraId="72F60A62" w14:textId="77777777" w:rsidTr="005272AE">
        <w:tc>
          <w:tcPr>
            <w:tcW w:w="3528" w:type="dxa"/>
            <w:shd w:val="clear" w:color="auto" w:fill="BFBFBF" w:themeFill="background1" w:themeFillShade="BF"/>
          </w:tcPr>
          <w:p w14:paraId="72F60A5F" w14:textId="77777777" w:rsidR="008B7A26" w:rsidRPr="009D1286" w:rsidRDefault="008B7A26" w:rsidP="00FC2F5B">
            <w:pPr>
              <w:widowControl w:val="0"/>
              <w:autoSpaceDE w:val="0"/>
              <w:autoSpaceDN w:val="0"/>
              <w:adjustRightInd w:val="0"/>
              <w:rPr>
                <w:rFonts w:cs="Arial"/>
                <w:b/>
                <w:sz w:val="18"/>
                <w:szCs w:val="18"/>
              </w:rPr>
            </w:pPr>
            <w:r w:rsidRPr="009D1286">
              <w:rPr>
                <w:rFonts w:cs="Arial"/>
                <w:b/>
                <w:sz w:val="18"/>
                <w:szCs w:val="18"/>
              </w:rPr>
              <w:t>Roll</w:t>
            </w:r>
            <w:r w:rsidR="0083406F" w:rsidRPr="009D1286">
              <w:rPr>
                <w:rFonts w:cs="Arial"/>
                <w:b/>
                <w:sz w:val="18"/>
                <w:szCs w:val="18"/>
              </w:rPr>
              <w:t>out Two</w:t>
            </w:r>
          </w:p>
        </w:tc>
        <w:tc>
          <w:tcPr>
            <w:tcW w:w="3150" w:type="dxa"/>
            <w:shd w:val="clear" w:color="auto" w:fill="BFBFBF" w:themeFill="background1" w:themeFillShade="BF"/>
          </w:tcPr>
          <w:p w14:paraId="72F60A60" w14:textId="77777777" w:rsidR="008B7A26" w:rsidRPr="008B7BA0" w:rsidRDefault="008B7A26"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61" w14:textId="77777777" w:rsidR="008B7A26" w:rsidRPr="008B7BA0" w:rsidRDefault="008B7A26" w:rsidP="008B7A26">
            <w:pPr>
              <w:widowControl w:val="0"/>
              <w:autoSpaceDE w:val="0"/>
              <w:autoSpaceDN w:val="0"/>
              <w:adjustRightInd w:val="0"/>
              <w:jc w:val="right"/>
              <w:rPr>
                <w:rFonts w:cs="Arial"/>
                <w:sz w:val="18"/>
                <w:szCs w:val="18"/>
              </w:rPr>
            </w:pPr>
          </w:p>
        </w:tc>
      </w:tr>
      <w:tr w:rsidR="00C9213D" w:rsidRPr="008B7BA0" w14:paraId="72F60A66" w14:textId="77777777" w:rsidTr="008B7BA0">
        <w:tc>
          <w:tcPr>
            <w:tcW w:w="3528" w:type="dxa"/>
          </w:tcPr>
          <w:p w14:paraId="72F60A63" w14:textId="77777777" w:rsidR="00C9213D" w:rsidRPr="008B7BA0" w:rsidRDefault="0083406F" w:rsidP="00FC2F5B">
            <w:pPr>
              <w:widowControl w:val="0"/>
              <w:autoSpaceDE w:val="0"/>
              <w:autoSpaceDN w:val="0"/>
              <w:adjustRightInd w:val="0"/>
              <w:rPr>
                <w:rFonts w:cs="Arial"/>
                <w:sz w:val="18"/>
                <w:szCs w:val="18"/>
              </w:rPr>
            </w:pPr>
            <w:r w:rsidRPr="008B7BA0">
              <w:rPr>
                <w:rFonts w:cs="Arial"/>
                <w:sz w:val="18"/>
                <w:szCs w:val="18"/>
              </w:rPr>
              <w:t>Base Configuration Start</w:t>
            </w:r>
          </w:p>
        </w:tc>
        <w:tc>
          <w:tcPr>
            <w:tcW w:w="3150" w:type="dxa"/>
          </w:tcPr>
          <w:p w14:paraId="72F60A64" w14:textId="77777777" w:rsidR="00C9213D"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14</w:t>
            </w:r>
          </w:p>
        </w:tc>
        <w:tc>
          <w:tcPr>
            <w:tcW w:w="2351" w:type="dxa"/>
          </w:tcPr>
          <w:p w14:paraId="72F60A65" w14:textId="77777777" w:rsidR="00C9213D"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$58,125</w:t>
            </w:r>
          </w:p>
        </w:tc>
      </w:tr>
      <w:tr w:rsidR="00D030BA" w:rsidRPr="008B7BA0" w14:paraId="72F60A6A" w14:textId="77777777" w:rsidTr="008B7BA0">
        <w:tc>
          <w:tcPr>
            <w:tcW w:w="3528" w:type="dxa"/>
          </w:tcPr>
          <w:p w14:paraId="72F60A67" w14:textId="77777777" w:rsidR="00D030BA" w:rsidRPr="008B7BA0" w:rsidRDefault="00D030BA" w:rsidP="00FC2F5B">
            <w:pPr>
              <w:widowControl w:val="0"/>
              <w:autoSpaceDE w:val="0"/>
              <w:autoSpaceDN w:val="0"/>
              <w:adjustRightInd w:val="0"/>
              <w:rPr>
                <w:rFonts w:cs="Arial"/>
                <w:sz w:val="18"/>
                <w:szCs w:val="18"/>
              </w:rPr>
            </w:pPr>
            <w:r w:rsidRPr="008B7BA0">
              <w:rPr>
                <w:rFonts w:cs="Arial"/>
                <w:sz w:val="18"/>
                <w:szCs w:val="18"/>
              </w:rPr>
              <w:t>Testing Start</w:t>
            </w:r>
          </w:p>
        </w:tc>
        <w:tc>
          <w:tcPr>
            <w:tcW w:w="3150" w:type="dxa"/>
          </w:tcPr>
          <w:p w14:paraId="72F60A68" w14:textId="77777777" w:rsidR="00D030BA"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20</w:t>
            </w:r>
          </w:p>
        </w:tc>
        <w:tc>
          <w:tcPr>
            <w:tcW w:w="2351" w:type="dxa"/>
          </w:tcPr>
          <w:p w14:paraId="72F60A69" w14:textId="77777777" w:rsidR="00D030BA"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$2,557,500</w:t>
            </w:r>
          </w:p>
        </w:tc>
      </w:tr>
      <w:tr w:rsidR="00D030BA" w:rsidRPr="008B7BA0" w14:paraId="72F60A6E" w14:textId="77777777" w:rsidTr="005272AE">
        <w:tc>
          <w:tcPr>
            <w:tcW w:w="3528" w:type="dxa"/>
            <w:tcBorders>
              <w:bottom w:val="single" w:sz="4" w:space="0" w:color="auto"/>
            </w:tcBorders>
          </w:tcPr>
          <w:p w14:paraId="72F60A6B" w14:textId="77777777" w:rsidR="00D030BA" w:rsidRPr="008B7BA0" w:rsidRDefault="00D030BA" w:rsidP="00FC2F5B">
            <w:pPr>
              <w:widowControl w:val="0"/>
              <w:autoSpaceDE w:val="0"/>
              <w:autoSpaceDN w:val="0"/>
              <w:adjustRightInd w:val="0"/>
              <w:rPr>
                <w:rFonts w:cs="Arial"/>
                <w:sz w:val="18"/>
                <w:szCs w:val="18"/>
              </w:rPr>
            </w:pPr>
            <w:r w:rsidRPr="008B7BA0">
              <w:rPr>
                <w:rFonts w:cs="Arial"/>
                <w:sz w:val="18"/>
                <w:szCs w:val="18"/>
              </w:rPr>
              <w:t>Production Cutover</w:t>
            </w:r>
          </w:p>
        </w:tc>
        <w:tc>
          <w:tcPr>
            <w:tcW w:w="3150" w:type="dxa"/>
            <w:tcBorders>
              <w:bottom w:val="single" w:sz="4" w:space="0" w:color="auto"/>
            </w:tcBorders>
          </w:tcPr>
          <w:p w14:paraId="72F60A6C" w14:textId="77777777" w:rsidR="00D030BA" w:rsidRPr="008B7BA0" w:rsidRDefault="008B7A26" w:rsidP="008B7BA0">
            <w:pPr>
              <w:widowControl w:val="0"/>
              <w:autoSpaceDE w:val="0"/>
              <w:autoSpaceDN w:val="0"/>
              <w:adjustRightInd w:val="0"/>
              <w:jc w:val="center"/>
              <w:rPr>
                <w:rFonts w:cs="Arial"/>
                <w:sz w:val="18"/>
                <w:szCs w:val="18"/>
              </w:rPr>
            </w:pPr>
            <w:r w:rsidRPr="008B7BA0">
              <w:rPr>
                <w:rFonts w:cs="Arial"/>
                <w:sz w:val="18"/>
                <w:szCs w:val="18"/>
              </w:rPr>
              <w:t>Month 24</w:t>
            </w:r>
          </w:p>
        </w:tc>
        <w:tc>
          <w:tcPr>
            <w:tcW w:w="2351" w:type="dxa"/>
            <w:tcBorders>
              <w:bottom w:val="single" w:sz="4" w:space="0" w:color="auto"/>
            </w:tcBorders>
          </w:tcPr>
          <w:p w14:paraId="72F60A6D" w14:textId="77777777" w:rsidR="00D030BA"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$1,889,063</w:t>
            </w:r>
          </w:p>
        </w:tc>
      </w:tr>
      <w:tr w:rsidR="00C9213D" w:rsidRPr="008B7BA0" w14:paraId="72F60A72" w14:textId="77777777" w:rsidTr="005272AE">
        <w:tc>
          <w:tcPr>
            <w:tcW w:w="3528" w:type="dxa"/>
            <w:shd w:val="clear" w:color="auto" w:fill="BFBFBF" w:themeFill="background1" w:themeFillShade="BF"/>
          </w:tcPr>
          <w:p w14:paraId="72F60A6F" w14:textId="77777777" w:rsidR="00C9213D" w:rsidRPr="009D1286" w:rsidRDefault="00760FFE" w:rsidP="00FC2F5B">
            <w:pPr>
              <w:widowControl w:val="0"/>
              <w:autoSpaceDE w:val="0"/>
              <w:autoSpaceDN w:val="0"/>
              <w:adjustRightInd w:val="0"/>
              <w:rPr>
                <w:rFonts w:cs="Arial"/>
                <w:b/>
                <w:sz w:val="18"/>
                <w:szCs w:val="18"/>
              </w:rPr>
            </w:pPr>
            <w:r w:rsidRPr="009D1286">
              <w:rPr>
                <w:rFonts w:cs="Arial"/>
                <w:b/>
                <w:sz w:val="18"/>
                <w:szCs w:val="18"/>
              </w:rPr>
              <w:t>Rollout Three</w:t>
            </w:r>
          </w:p>
        </w:tc>
        <w:tc>
          <w:tcPr>
            <w:tcW w:w="3150" w:type="dxa"/>
            <w:shd w:val="clear" w:color="auto" w:fill="BFBFBF" w:themeFill="background1" w:themeFillShade="BF"/>
          </w:tcPr>
          <w:p w14:paraId="72F60A70" w14:textId="77777777" w:rsidR="00C9213D" w:rsidRPr="008B7BA0" w:rsidRDefault="00C9213D"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71" w14:textId="77777777" w:rsidR="00C9213D" w:rsidRPr="008B7BA0" w:rsidRDefault="00C9213D" w:rsidP="008B7A26">
            <w:pPr>
              <w:widowControl w:val="0"/>
              <w:autoSpaceDE w:val="0"/>
              <w:autoSpaceDN w:val="0"/>
              <w:adjustRightInd w:val="0"/>
              <w:jc w:val="right"/>
              <w:rPr>
                <w:rFonts w:cs="Arial"/>
                <w:sz w:val="18"/>
                <w:szCs w:val="18"/>
              </w:rPr>
            </w:pPr>
          </w:p>
        </w:tc>
      </w:tr>
      <w:tr w:rsidR="00C9213D" w:rsidRPr="008B7BA0" w14:paraId="72F60A76" w14:textId="77777777" w:rsidTr="008B7BA0">
        <w:tc>
          <w:tcPr>
            <w:tcW w:w="3528" w:type="dxa"/>
          </w:tcPr>
          <w:p w14:paraId="72F60A73" w14:textId="77777777" w:rsidR="00C9213D" w:rsidRPr="008B7BA0" w:rsidRDefault="00760FFE" w:rsidP="00FC2F5B">
            <w:pPr>
              <w:widowControl w:val="0"/>
              <w:autoSpaceDE w:val="0"/>
              <w:autoSpaceDN w:val="0"/>
              <w:adjustRightInd w:val="0"/>
              <w:rPr>
                <w:rFonts w:cs="Arial"/>
                <w:sz w:val="18"/>
                <w:szCs w:val="18"/>
              </w:rPr>
            </w:pPr>
            <w:r w:rsidRPr="008B7BA0">
              <w:rPr>
                <w:rFonts w:cs="Arial"/>
                <w:sz w:val="18"/>
                <w:szCs w:val="18"/>
              </w:rPr>
              <w:t>Base Configuration Start</w:t>
            </w:r>
          </w:p>
        </w:tc>
        <w:tc>
          <w:tcPr>
            <w:tcW w:w="3150" w:type="dxa"/>
          </w:tcPr>
          <w:p w14:paraId="72F60A74" w14:textId="77777777" w:rsidR="00C9213D"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26</w:t>
            </w:r>
          </w:p>
        </w:tc>
        <w:tc>
          <w:tcPr>
            <w:tcW w:w="2351" w:type="dxa"/>
          </w:tcPr>
          <w:p w14:paraId="72F60A75" w14:textId="77777777" w:rsidR="00C9213D"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$48,438</w:t>
            </w:r>
          </w:p>
        </w:tc>
      </w:tr>
      <w:tr w:rsidR="00C9213D" w:rsidRPr="008B7BA0" w14:paraId="72F60A7A" w14:textId="77777777" w:rsidTr="008B7BA0">
        <w:tc>
          <w:tcPr>
            <w:tcW w:w="3528" w:type="dxa"/>
          </w:tcPr>
          <w:p w14:paraId="72F60A77" w14:textId="77777777" w:rsidR="00C9213D" w:rsidRPr="008B7BA0" w:rsidRDefault="00C9213D" w:rsidP="00FC2F5B">
            <w:pPr>
              <w:widowControl w:val="0"/>
              <w:autoSpaceDE w:val="0"/>
              <w:autoSpaceDN w:val="0"/>
              <w:adjustRightInd w:val="0"/>
              <w:rPr>
                <w:rFonts w:cs="Arial"/>
                <w:sz w:val="18"/>
                <w:szCs w:val="18"/>
              </w:rPr>
            </w:pPr>
            <w:r w:rsidRPr="008B7BA0">
              <w:rPr>
                <w:rFonts w:cs="Arial"/>
                <w:sz w:val="18"/>
                <w:szCs w:val="18"/>
              </w:rPr>
              <w:t>Testing Start</w:t>
            </w:r>
          </w:p>
        </w:tc>
        <w:tc>
          <w:tcPr>
            <w:tcW w:w="3150" w:type="dxa"/>
          </w:tcPr>
          <w:p w14:paraId="72F60A78" w14:textId="77777777" w:rsidR="00C9213D"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34</w:t>
            </w:r>
          </w:p>
        </w:tc>
        <w:tc>
          <w:tcPr>
            <w:tcW w:w="2351" w:type="dxa"/>
          </w:tcPr>
          <w:p w14:paraId="72F60A79" w14:textId="77777777" w:rsidR="00C9213D"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$1,705,000</w:t>
            </w:r>
          </w:p>
        </w:tc>
      </w:tr>
      <w:tr w:rsidR="00C9213D" w:rsidRPr="008B7BA0" w14:paraId="72F60A7E" w14:textId="77777777" w:rsidTr="005272AE">
        <w:tc>
          <w:tcPr>
            <w:tcW w:w="3528" w:type="dxa"/>
            <w:tcBorders>
              <w:bottom w:val="single" w:sz="4" w:space="0" w:color="auto"/>
            </w:tcBorders>
          </w:tcPr>
          <w:p w14:paraId="72F60A7B" w14:textId="77777777" w:rsidR="00C9213D" w:rsidRPr="008B7BA0" w:rsidRDefault="00C9213D" w:rsidP="00FC2F5B">
            <w:pPr>
              <w:widowControl w:val="0"/>
              <w:autoSpaceDE w:val="0"/>
              <w:autoSpaceDN w:val="0"/>
              <w:adjustRightInd w:val="0"/>
              <w:rPr>
                <w:rFonts w:cs="Arial"/>
                <w:sz w:val="18"/>
                <w:szCs w:val="18"/>
              </w:rPr>
            </w:pPr>
            <w:r w:rsidRPr="008B7BA0">
              <w:rPr>
                <w:rFonts w:cs="Arial"/>
                <w:sz w:val="18"/>
                <w:szCs w:val="18"/>
              </w:rPr>
              <w:t>Production Cutover</w:t>
            </w:r>
          </w:p>
        </w:tc>
        <w:tc>
          <w:tcPr>
            <w:tcW w:w="3150" w:type="dxa"/>
            <w:tcBorders>
              <w:bottom w:val="single" w:sz="4" w:space="0" w:color="auto"/>
            </w:tcBorders>
          </w:tcPr>
          <w:p w14:paraId="72F60A7C" w14:textId="77777777" w:rsidR="00C9213D"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36</w:t>
            </w:r>
          </w:p>
        </w:tc>
        <w:tc>
          <w:tcPr>
            <w:tcW w:w="2351" w:type="dxa"/>
            <w:tcBorders>
              <w:bottom w:val="single" w:sz="4" w:space="0" w:color="auto"/>
            </w:tcBorders>
          </w:tcPr>
          <w:p w14:paraId="72F60A7D" w14:textId="77777777" w:rsidR="00C9213D"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$1,307,813</w:t>
            </w:r>
          </w:p>
        </w:tc>
      </w:tr>
      <w:tr w:rsidR="00C9213D" w:rsidRPr="008B7BA0" w14:paraId="72F60A82" w14:textId="77777777" w:rsidTr="005272AE">
        <w:tc>
          <w:tcPr>
            <w:tcW w:w="3528" w:type="dxa"/>
            <w:shd w:val="clear" w:color="auto" w:fill="BFBFBF" w:themeFill="background1" w:themeFillShade="BF"/>
          </w:tcPr>
          <w:p w14:paraId="72F60A7F" w14:textId="77777777" w:rsidR="00C9213D" w:rsidRPr="009D1286" w:rsidRDefault="00760FFE" w:rsidP="00FC2F5B">
            <w:pPr>
              <w:widowControl w:val="0"/>
              <w:autoSpaceDE w:val="0"/>
              <w:autoSpaceDN w:val="0"/>
              <w:adjustRightInd w:val="0"/>
              <w:rPr>
                <w:rFonts w:cs="Arial"/>
                <w:b/>
                <w:sz w:val="18"/>
                <w:szCs w:val="18"/>
              </w:rPr>
            </w:pPr>
            <w:r w:rsidRPr="009D1286">
              <w:rPr>
                <w:rFonts w:cs="Arial"/>
                <w:b/>
                <w:sz w:val="18"/>
                <w:szCs w:val="18"/>
              </w:rPr>
              <w:t>Rollout Four</w:t>
            </w:r>
          </w:p>
        </w:tc>
        <w:tc>
          <w:tcPr>
            <w:tcW w:w="3150" w:type="dxa"/>
            <w:shd w:val="clear" w:color="auto" w:fill="BFBFBF" w:themeFill="background1" w:themeFillShade="BF"/>
          </w:tcPr>
          <w:p w14:paraId="72F60A80" w14:textId="77777777" w:rsidR="00C9213D" w:rsidRPr="008B7BA0" w:rsidRDefault="00C9213D"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81" w14:textId="77777777" w:rsidR="00C9213D" w:rsidRPr="008B7BA0" w:rsidRDefault="00C9213D" w:rsidP="008B7A26">
            <w:pPr>
              <w:widowControl w:val="0"/>
              <w:autoSpaceDE w:val="0"/>
              <w:autoSpaceDN w:val="0"/>
              <w:adjustRightInd w:val="0"/>
              <w:jc w:val="right"/>
              <w:rPr>
                <w:rFonts w:cs="Arial"/>
                <w:sz w:val="18"/>
                <w:szCs w:val="18"/>
              </w:rPr>
            </w:pPr>
          </w:p>
        </w:tc>
      </w:tr>
      <w:tr w:rsidR="00D030BA" w:rsidRPr="008B7BA0" w14:paraId="72F60A86" w14:textId="77777777" w:rsidTr="008B7BA0">
        <w:tc>
          <w:tcPr>
            <w:tcW w:w="3528" w:type="dxa"/>
          </w:tcPr>
          <w:p w14:paraId="72F60A83" w14:textId="77777777" w:rsidR="00D030BA" w:rsidRPr="008B7BA0" w:rsidRDefault="00760FFE" w:rsidP="00FC2F5B">
            <w:pPr>
              <w:widowControl w:val="0"/>
              <w:autoSpaceDE w:val="0"/>
              <w:autoSpaceDN w:val="0"/>
              <w:adjustRightInd w:val="0"/>
              <w:rPr>
                <w:rFonts w:cs="Arial"/>
                <w:sz w:val="18"/>
                <w:szCs w:val="18"/>
              </w:rPr>
            </w:pPr>
            <w:r w:rsidRPr="008B7BA0">
              <w:rPr>
                <w:rFonts w:cs="Arial"/>
                <w:sz w:val="18"/>
                <w:szCs w:val="18"/>
              </w:rPr>
              <w:t>Base Configuration Start</w:t>
            </w:r>
          </w:p>
        </w:tc>
        <w:tc>
          <w:tcPr>
            <w:tcW w:w="3150" w:type="dxa"/>
          </w:tcPr>
          <w:p w14:paraId="72F60A84" w14:textId="77777777" w:rsidR="00D030BA"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38</w:t>
            </w:r>
          </w:p>
        </w:tc>
        <w:tc>
          <w:tcPr>
            <w:tcW w:w="2351" w:type="dxa"/>
          </w:tcPr>
          <w:p w14:paraId="72F60A85" w14:textId="77777777" w:rsidR="00D030BA"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$48,438</w:t>
            </w:r>
          </w:p>
        </w:tc>
      </w:tr>
      <w:tr w:rsidR="00D030BA" w:rsidRPr="008B7BA0" w14:paraId="72F60A8A" w14:textId="77777777" w:rsidTr="008B7BA0">
        <w:tc>
          <w:tcPr>
            <w:tcW w:w="3528" w:type="dxa"/>
          </w:tcPr>
          <w:p w14:paraId="72F60A87" w14:textId="77777777" w:rsidR="00D030BA" w:rsidRPr="008B7BA0" w:rsidRDefault="00D030BA" w:rsidP="00FC2F5B">
            <w:pPr>
              <w:widowControl w:val="0"/>
              <w:autoSpaceDE w:val="0"/>
              <w:autoSpaceDN w:val="0"/>
              <w:adjustRightInd w:val="0"/>
              <w:rPr>
                <w:rFonts w:cs="Arial"/>
                <w:sz w:val="18"/>
                <w:szCs w:val="18"/>
              </w:rPr>
            </w:pPr>
            <w:r w:rsidRPr="008B7BA0">
              <w:rPr>
                <w:rFonts w:cs="Arial"/>
                <w:sz w:val="18"/>
                <w:szCs w:val="18"/>
              </w:rPr>
              <w:t>Testing Start</w:t>
            </w:r>
          </w:p>
        </w:tc>
        <w:tc>
          <w:tcPr>
            <w:tcW w:w="3150" w:type="dxa"/>
          </w:tcPr>
          <w:p w14:paraId="72F60A88" w14:textId="77777777" w:rsidR="00D030BA"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46</w:t>
            </w:r>
          </w:p>
        </w:tc>
        <w:tc>
          <w:tcPr>
            <w:tcW w:w="2351" w:type="dxa"/>
          </w:tcPr>
          <w:p w14:paraId="72F60A89" w14:textId="77777777" w:rsidR="00D030BA"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$1,705,000</w:t>
            </w:r>
          </w:p>
        </w:tc>
      </w:tr>
      <w:tr w:rsidR="00C9213D" w:rsidRPr="008B7BA0" w14:paraId="72F60A8E" w14:textId="77777777" w:rsidTr="005272AE">
        <w:tc>
          <w:tcPr>
            <w:tcW w:w="3528" w:type="dxa"/>
            <w:tcBorders>
              <w:bottom w:val="single" w:sz="4" w:space="0" w:color="auto"/>
            </w:tcBorders>
          </w:tcPr>
          <w:p w14:paraId="72F60A8B" w14:textId="77777777" w:rsidR="00C9213D" w:rsidRPr="008B7BA0" w:rsidRDefault="00C9213D" w:rsidP="00FC2F5B">
            <w:pPr>
              <w:widowControl w:val="0"/>
              <w:autoSpaceDE w:val="0"/>
              <w:autoSpaceDN w:val="0"/>
              <w:adjustRightInd w:val="0"/>
              <w:rPr>
                <w:rFonts w:cs="Arial"/>
                <w:sz w:val="18"/>
                <w:szCs w:val="18"/>
              </w:rPr>
            </w:pPr>
            <w:r w:rsidRPr="008B7BA0">
              <w:rPr>
                <w:rFonts w:cs="Arial"/>
                <w:sz w:val="18"/>
                <w:szCs w:val="18"/>
              </w:rPr>
              <w:t>Production Cutover</w:t>
            </w:r>
          </w:p>
        </w:tc>
        <w:tc>
          <w:tcPr>
            <w:tcW w:w="3150" w:type="dxa"/>
            <w:tcBorders>
              <w:bottom w:val="single" w:sz="4" w:space="0" w:color="auto"/>
            </w:tcBorders>
          </w:tcPr>
          <w:p w14:paraId="72F60A8C" w14:textId="77777777" w:rsidR="00C9213D"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48</w:t>
            </w:r>
          </w:p>
        </w:tc>
        <w:tc>
          <w:tcPr>
            <w:tcW w:w="2351" w:type="dxa"/>
            <w:tcBorders>
              <w:bottom w:val="single" w:sz="4" w:space="0" w:color="auto"/>
            </w:tcBorders>
          </w:tcPr>
          <w:p w14:paraId="72F60A8D" w14:textId="77777777" w:rsidR="00C9213D"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$1,385,313</w:t>
            </w:r>
          </w:p>
        </w:tc>
      </w:tr>
      <w:tr w:rsidR="00760FFE" w:rsidRPr="008B7BA0" w14:paraId="72F60A92" w14:textId="77777777" w:rsidTr="005272AE">
        <w:tc>
          <w:tcPr>
            <w:tcW w:w="3528" w:type="dxa"/>
            <w:shd w:val="clear" w:color="auto" w:fill="BFBFBF" w:themeFill="background1" w:themeFillShade="BF"/>
          </w:tcPr>
          <w:p w14:paraId="72F60A8F" w14:textId="77777777" w:rsidR="00760FFE" w:rsidRPr="009D1286" w:rsidRDefault="00760FFE" w:rsidP="00FC2F5B">
            <w:pPr>
              <w:widowControl w:val="0"/>
              <w:autoSpaceDE w:val="0"/>
              <w:autoSpaceDN w:val="0"/>
              <w:adjustRightInd w:val="0"/>
              <w:rPr>
                <w:rFonts w:cs="Arial"/>
                <w:b/>
                <w:sz w:val="18"/>
                <w:szCs w:val="18"/>
              </w:rPr>
            </w:pPr>
            <w:r w:rsidRPr="009D1286">
              <w:rPr>
                <w:rFonts w:cs="Arial"/>
                <w:b/>
                <w:sz w:val="18"/>
                <w:szCs w:val="18"/>
              </w:rPr>
              <w:t>Annual Maintenance</w:t>
            </w:r>
          </w:p>
        </w:tc>
        <w:tc>
          <w:tcPr>
            <w:tcW w:w="3150" w:type="dxa"/>
            <w:shd w:val="clear" w:color="auto" w:fill="BFBFBF" w:themeFill="background1" w:themeFillShade="BF"/>
          </w:tcPr>
          <w:p w14:paraId="72F60A90" w14:textId="77777777" w:rsidR="00760FFE" w:rsidRPr="008B7BA0" w:rsidRDefault="00760FFE"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91" w14:textId="77777777" w:rsidR="00760FFE" w:rsidRPr="008B7BA0" w:rsidRDefault="00760FFE" w:rsidP="008B7A26">
            <w:pPr>
              <w:widowControl w:val="0"/>
              <w:autoSpaceDE w:val="0"/>
              <w:autoSpaceDN w:val="0"/>
              <w:adjustRightInd w:val="0"/>
              <w:jc w:val="right"/>
              <w:rPr>
                <w:rFonts w:cs="Arial"/>
                <w:sz w:val="18"/>
                <w:szCs w:val="18"/>
              </w:rPr>
            </w:pPr>
          </w:p>
        </w:tc>
      </w:tr>
      <w:tr w:rsidR="00FC2F5B" w:rsidRPr="008B7BA0" w14:paraId="72F60A96" w14:textId="77777777" w:rsidTr="008B7BA0">
        <w:tc>
          <w:tcPr>
            <w:tcW w:w="3528" w:type="dxa"/>
          </w:tcPr>
          <w:p w14:paraId="72F60A93"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Year 1</w:t>
            </w:r>
          </w:p>
        </w:tc>
        <w:tc>
          <w:tcPr>
            <w:tcW w:w="3150" w:type="dxa"/>
          </w:tcPr>
          <w:p w14:paraId="72F60A94" w14:textId="77777777" w:rsidR="00FC2F5B"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1</w:t>
            </w:r>
          </w:p>
        </w:tc>
        <w:tc>
          <w:tcPr>
            <w:tcW w:w="2351" w:type="dxa"/>
          </w:tcPr>
          <w:p w14:paraId="72F60A95"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$319,325</w:t>
            </w:r>
          </w:p>
        </w:tc>
      </w:tr>
      <w:tr w:rsidR="00FC2F5B" w:rsidRPr="008B7BA0" w14:paraId="72F60A9A" w14:textId="77777777" w:rsidTr="008B7BA0">
        <w:tc>
          <w:tcPr>
            <w:tcW w:w="3528" w:type="dxa"/>
          </w:tcPr>
          <w:p w14:paraId="72F60A97"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Year 2</w:t>
            </w:r>
          </w:p>
        </w:tc>
        <w:tc>
          <w:tcPr>
            <w:tcW w:w="3150" w:type="dxa"/>
          </w:tcPr>
          <w:p w14:paraId="72F60A98" w14:textId="77777777" w:rsidR="00FC2F5B"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13</w:t>
            </w:r>
          </w:p>
        </w:tc>
        <w:tc>
          <w:tcPr>
            <w:tcW w:w="2351" w:type="dxa"/>
          </w:tcPr>
          <w:p w14:paraId="72F60A99"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$569,325</w:t>
            </w:r>
          </w:p>
        </w:tc>
      </w:tr>
      <w:tr w:rsidR="00FC2F5B" w:rsidRPr="008B7BA0" w14:paraId="72F60A9E" w14:textId="77777777" w:rsidTr="008B7BA0">
        <w:tc>
          <w:tcPr>
            <w:tcW w:w="3528" w:type="dxa"/>
          </w:tcPr>
          <w:p w14:paraId="72F60A9B"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Year 3</w:t>
            </w:r>
          </w:p>
        </w:tc>
        <w:tc>
          <w:tcPr>
            <w:tcW w:w="3150" w:type="dxa"/>
          </w:tcPr>
          <w:p w14:paraId="72F60A9C" w14:textId="77777777" w:rsidR="00FC2F5B"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25</w:t>
            </w:r>
          </w:p>
        </w:tc>
        <w:tc>
          <w:tcPr>
            <w:tcW w:w="2351" w:type="dxa"/>
          </w:tcPr>
          <w:p w14:paraId="72F60A9D"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$819,325</w:t>
            </w:r>
          </w:p>
        </w:tc>
      </w:tr>
      <w:tr w:rsidR="00FC2F5B" w:rsidRPr="008B7BA0" w14:paraId="72F60AA2" w14:textId="77777777" w:rsidTr="008B7BA0">
        <w:tc>
          <w:tcPr>
            <w:tcW w:w="3528" w:type="dxa"/>
          </w:tcPr>
          <w:p w14:paraId="72F60A9F"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Year 4</w:t>
            </w:r>
          </w:p>
        </w:tc>
        <w:tc>
          <w:tcPr>
            <w:tcW w:w="3150" w:type="dxa"/>
          </w:tcPr>
          <w:p w14:paraId="72F60AA0" w14:textId="77777777" w:rsidR="00FC2F5B"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37</w:t>
            </w:r>
          </w:p>
        </w:tc>
        <w:tc>
          <w:tcPr>
            <w:tcW w:w="2351" w:type="dxa"/>
          </w:tcPr>
          <w:p w14:paraId="72F60AA1"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$1,069,325</w:t>
            </w:r>
          </w:p>
        </w:tc>
      </w:tr>
      <w:tr w:rsidR="00FC2F5B" w:rsidRPr="008B7BA0" w14:paraId="72F60AA6" w14:textId="77777777" w:rsidTr="005272AE">
        <w:tc>
          <w:tcPr>
            <w:tcW w:w="3528" w:type="dxa"/>
            <w:tcBorders>
              <w:bottom w:val="single" w:sz="4" w:space="0" w:color="auto"/>
            </w:tcBorders>
          </w:tcPr>
          <w:p w14:paraId="72F60AA3" w14:textId="77777777" w:rsidR="00FC2F5B" w:rsidRPr="008B7BA0" w:rsidRDefault="00C9213D" w:rsidP="00FC2F5B">
            <w:pPr>
              <w:widowControl w:val="0"/>
              <w:autoSpaceDE w:val="0"/>
              <w:autoSpaceDN w:val="0"/>
              <w:adjustRightInd w:val="0"/>
              <w:rPr>
                <w:rFonts w:cs="Arial"/>
                <w:sz w:val="18"/>
                <w:szCs w:val="18"/>
              </w:rPr>
            </w:pPr>
            <w:r w:rsidRPr="008B7BA0">
              <w:rPr>
                <w:rFonts w:cs="Arial"/>
                <w:sz w:val="18"/>
                <w:szCs w:val="18"/>
              </w:rPr>
              <w:t>Year 5</w:t>
            </w:r>
          </w:p>
        </w:tc>
        <w:tc>
          <w:tcPr>
            <w:tcW w:w="3150" w:type="dxa"/>
            <w:tcBorders>
              <w:bottom w:val="single" w:sz="4" w:space="0" w:color="auto"/>
            </w:tcBorders>
          </w:tcPr>
          <w:p w14:paraId="72F60AA4" w14:textId="77777777" w:rsidR="00FC2F5B"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49</w:t>
            </w:r>
          </w:p>
        </w:tc>
        <w:tc>
          <w:tcPr>
            <w:tcW w:w="2351" w:type="dxa"/>
            <w:tcBorders>
              <w:bottom w:val="single" w:sz="4" w:space="0" w:color="auto"/>
            </w:tcBorders>
          </w:tcPr>
          <w:p w14:paraId="72F60AA5" w14:textId="77777777" w:rsidR="00FC2F5B" w:rsidRPr="008B7BA0" w:rsidRDefault="00D030BA" w:rsidP="008B7A26">
            <w:pPr>
              <w:widowControl w:val="0"/>
              <w:autoSpaceDE w:val="0"/>
              <w:autoSpaceDN w:val="0"/>
              <w:adjustRightInd w:val="0"/>
              <w:jc w:val="right"/>
              <w:rPr>
                <w:rFonts w:cs="Arial"/>
                <w:sz w:val="18"/>
                <w:szCs w:val="18"/>
              </w:rPr>
            </w:pPr>
            <w:r w:rsidRPr="008B7BA0">
              <w:rPr>
                <w:rFonts w:cs="Arial"/>
                <w:sz w:val="18"/>
                <w:szCs w:val="18"/>
              </w:rPr>
              <w:t>$1,269,325</w:t>
            </w:r>
          </w:p>
        </w:tc>
      </w:tr>
      <w:tr w:rsidR="00FC2F5B" w:rsidRPr="008B7BA0" w14:paraId="72F60AAA" w14:textId="77777777" w:rsidTr="005272AE">
        <w:tc>
          <w:tcPr>
            <w:tcW w:w="3528" w:type="dxa"/>
            <w:shd w:val="clear" w:color="auto" w:fill="BFBFBF" w:themeFill="background1" w:themeFillShade="BF"/>
          </w:tcPr>
          <w:p w14:paraId="72F60AA7" w14:textId="77777777" w:rsidR="00FC2F5B" w:rsidRPr="009D1286" w:rsidRDefault="00C9213D" w:rsidP="00FC2F5B">
            <w:pPr>
              <w:widowControl w:val="0"/>
              <w:autoSpaceDE w:val="0"/>
              <w:autoSpaceDN w:val="0"/>
              <w:adjustRightInd w:val="0"/>
              <w:rPr>
                <w:rFonts w:cs="Arial"/>
                <w:b/>
                <w:sz w:val="18"/>
                <w:szCs w:val="18"/>
              </w:rPr>
            </w:pPr>
            <w:r w:rsidRPr="009D1286">
              <w:rPr>
                <w:rFonts w:cs="Arial"/>
                <w:b/>
                <w:sz w:val="18"/>
                <w:szCs w:val="18"/>
              </w:rPr>
              <w:t>Warranty</w:t>
            </w:r>
          </w:p>
        </w:tc>
        <w:tc>
          <w:tcPr>
            <w:tcW w:w="3150" w:type="dxa"/>
            <w:shd w:val="clear" w:color="auto" w:fill="BFBFBF" w:themeFill="background1" w:themeFillShade="BF"/>
          </w:tcPr>
          <w:p w14:paraId="72F60AA8" w14:textId="77777777" w:rsidR="00FC2F5B" w:rsidRPr="008B7BA0" w:rsidRDefault="00FC2F5B" w:rsidP="008B7BA0">
            <w:pPr>
              <w:widowControl w:val="0"/>
              <w:autoSpaceDE w:val="0"/>
              <w:autoSpaceDN w:val="0"/>
              <w:adjustRightInd w:val="0"/>
              <w:jc w:val="center"/>
              <w:rPr>
                <w:rFonts w:cs="Arial"/>
                <w:sz w:val="18"/>
                <w:szCs w:val="18"/>
              </w:rPr>
            </w:pPr>
          </w:p>
        </w:tc>
        <w:tc>
          <w:tcPr>
            <w:tcW w:w="2351" w:type="dxa"/>
            <w:shd w:val="clear" w:color="auto" w:fill="BFBFBF" w:themeFill="background1" w:themeFillShade="BF"/>
          </w:tcPr>
          <w:p w14:paraId="72F60AA9" w14:textId="77777777" w:rsidR="00FC2F5B" w:rsidRPr="008B7BA0" w:rsidRDefault="00FC2F5B" w:rsidP="008B7A26">
            <w:pPr>
              <w:widowControl w:val="0"/>
              <w:autoSpaceDE w:val="0"/>
              <w:autoSpaceDN w:val="0"/>
              <w:adjustRightInd w:val="0"/>
              <w:jc w:val="right"/>
              <w:rPr>
                <w:rFonts w:cs="Arial"/>
                <w:sz w:val="18"/>
                <w:szCs w:val="18"/>
              </w:rPr>
            </w:pPr>
          </w:p>
        </w:tc>
      </w:tr>
      <w:tr w:rsidR="00D030BA" w:rsidRPr="008B7BA0" w14:paraId="72F60AAE" w14:textId="77777777" w:rsidTr="008B7BA0">
        <w:tc>
          <w:tcPr>
            <w:tcW w:w="3528" w:type="dxa"/>
          </w:tcPr>
          <w:p w14:paraId="72F60AAB" w14:textId="77777777" w:rsidR="00D030BA" w:rsidRPr="008B7BA0" w:rsidRDefault="00D030BA" w:rsidP="00FC2F5B">
            <w:pPr>
              <w:widowControl w:val="0"/>
              <w:autoSpaceDE w:val="0"/>
              <w:autoSpaceDN w:val="0"/>
              <w:adjustRightInd w:val="0"/>
              <w:rPr>
                <w:rFonts w:cs="Arial"/>
                <w:sz w:val="18"/>
                <w:szCs w:val="18"/>
              </w:rPr>
            </w:pPr>
            <w:r w:rsidRPr="008B7BA0">
              <w:rPr>
                <w:rFonts w:cs="Arial"/>
                <w:sz w:val="18"/>
                <w:szCs w:val="18"/>
              </w:rPr>
              <w:t>Year 1</w:t>
            </w:r>
          </w:p>
        </w:tc>
        <w:tc>
          <w:tcPr>
            <w:tcW w:w="3150" w:type="dxa"/>
          </w:tcPr>
          <w:p w14:paraId="72F60AAC" w14:textId="77777777" w:rsidR="00D030BA"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60</w:t>
            </w:r>
          </w:p>
        </w:tc>
        <w:tc>
          <w:tcPr>
            <w:tcW w:w="2351" w:type="dxa"/>
          </w:tcPr>
          <w:p w14:paraId="72F60AAD" w14:textId="77777777" w:rsidR="00D030BA" w:rsidRPr="008B7BA0" w:rsidRDefault="00D030BA" w:rsidP="008B7A26">
            <w:pPr>
              <w:jc w:val="right"/>
              <w:rPr>
                <w:rFonts w:cs="Arial"/>
                <w:sz w:val="18"/>
                <w:szCs w:val="18"/>
              </w:rPr>
            </w:pPr>
            <w:r w:rsidRPr="008B7BA0">
              <w:rPr>
                <w:rFonts w:cs="Arial"/>
                <w:sz w:val="18"/>
                <w:szCs w:val="18"/>
              </w:rPr>
              <w:t>$2,000,000</w:t>
            </w:r>
          </w:p>
        </w:tc>
      </w:tr>
      <w:tr w:rsidR="00D030BA" w:rsidRPr="008B7BA0" w14:paraId="72F60AB2" w14:textId="77777777" w:rsidTr="008B7BA0">
        <w:tc>
          <w:tcPr>
            <w:tcW w:w="3528" w:type="dxa"/>
          </w:tcPr>
          <w:p w14:paraId="72F60AAF" w14:textId="77777777" w:rsidR="00D030BA" w:rsidRPr="008B7BA0" w:rsidRDefault="00D030BA" w:rsidP="00FC2F5B">
            <w:pPr>
              <w:widowControl w:val="0"/>
              <w:autoSpaceDE w:val="0"/>
              <w:autoSpaceDN w:val="0"/>
              <w:adjustRightInd w:val="0"/>
              <w:rPr>
                <w:rFonts w:cs="Arial"/>
                <w:sz w:val="18"/>
                <w:szCs w:val="18"/>
              </w:rPr>
            </w:pPr>
            <w:r w:rsidRPr="008B7BA0">
              <w:rPr>
                <w:rFonts w:cs="Arial"/>
                <w:sz w:val="18"/>
                <w:szCs w:val="18"/>
              </w:rPr>
              <w:t>Year 2</w:t>
            </w:r>
          </w:p>
        </w:tc>
        <w:tc>
          <w:tcPr>
            <w:tcW w:w="3150" w:type="dxa"/>
          </w:tcPr>
          <w:p w14:paraId="72F60AB0" w14:textId="77777777" w:rsidR="00D030BA" w:rsidRPr="008B7BA0" w:rsidRDefault="00760FFE" w:rsidP="008B7BA0">
            <w:pPr>
              <w:widowControl w:val="0"/>
              <w:autoSpaceDE w:val="0"/>
              <w:autoSpaceDN w:val="0"/>
              <w:adjustRightInd w:val="0"/>
              <w:jc w:val="center"/>
              <w:rPr>
                <w:rFonts w:cs="Arial"/>
                <w:sz w:val="18"/>
                <w:szCs w:val="18"/>
              </w:rPr>
            </w:pPr>
            <w:r w:rsidRPr="008B7BA0">
              <w:rPr>
                <w:rFonts w:cs="Arial"/>
                <w:sz w:val="18"/>
                <w:szCs w:val="18"/>
              </w:rPr>
              <w:t>Month 72</w:t>
            </w:r>
          </w:p>
        </w:tc>
        <w:tc>
          <w:tcPr>
            <w:tcW w:w="2351" w:type="dxa"/>
          </w:tcPr>
          <w:p w14:paraId="72F60AB1" w14:textId="77777777" w:rsidR="00D030BA" w:rsidRPr="008B7BA0" w:rsidRDefault="00D030BA" w:rsidP="008B7A26">
            <w:pPr>
              <w:jc w:val="right"/>
              <w:rPr>
                <w:rFonts w:cs="Arial"/>
                <w:sz w:val="18"/>
                <w:szCs w:val="18"/>
              </w:rPr>
            </w:pPr>
            <w:r w:rsidRPr="008B7BA0">
              <w:rPr>
                <w:rFonts w:cs="Arial"/>
                <w:sz w:val="18"/>
                <w:szCs w:val="18"/>
              </w:rPr>
              <w:t>$2,000,000</w:t>
            </w:r>
          </w:p>
        </w:tc>
      </w:tr>
      <w:tr w:rsidR="00FC2F5B" w:rsidRPr="008B7BA0" w14:paraId="72F60AB6" w14:textId="77777777" w:rsidTr="008B7BA0">
        <w:tc>
          <w:tcPr>
            <w:tcW w:w="3528" w:type="dxa"/>
          </w:tcPr>
          <w:p w14:paraId="72F60AB3" w14:textId="77777777" w:rsidR="00FC2F5B" w:rsidRPr="008B7BA0" w:rsidRDefault="00C9213D" w:rsidP="008B7A26">
            <w:pPr>
              <w:widowControl w:val="0"/>
              <w:autoSpaceDE w:val="0"/>
              <w:autoSpaceDN w:val="0"/>
              <w:adjustRightInd w:val="0"/>
              <w:jc w:val="right"/>
              <w:rPr>
                <w:rFonts w:cs="Arial"/>
                <w:b/>
                <w:sz w:val="18"/>
                <w:szCs w:val="18"/>
              </w:rPr>
            </w:pPr>
            <w:r w:rsidRPr="008B7BA0">
              <w:rPr>
                <w:rFonts w:cs="Arial"/>
                <w:b/>
                <w:sz w:val="18"/>
                <w:szCs w:val="18"/>
              </w:rPr>
              <w:t>Total</w:t>
            </w:r>
          </w:p>
        </w:tc>
        <w:tc>
          <w:tcPr>
            <w:tcW w:w="3150" w:type="dxa"/>
          </w:tcPr>
          <w:p w14:paraId="72F60AB4" w14:textId="77777777" w:rsidR="00FC2F5B" w:rsidRPr="008B7BA0" w:rsidRDefault="00FC2F5B" w:rsidP="00FC2F5B">
            <w:pPr>
              <w:widowControl w:val="0"/>
              <w:autoSpaceDE w:val="0"/>
              <w:autoSpaceDN w:val="0"/>
              <w:adjustRightInd w:val="0"/>
              <w:rPr>
                <w:rFonts w:cs="Arial"/>
                <w:b/>
                <w:sz w:val="18"/>
                <w:szCs w:val="18"/>
              </w:rPr>
            </w:pPr>
          </w:p>
        </w:tc>
        <w:tc>
          <w:tcPr>
            <w:tcW w:w="2351" w:type="dxa"/>
          </w:tcPr>
          <w:p w14:paraId="72F60AB5" w14:textId="77777777" w:rsidR="00FC2F5B" w:rsidRPr="008B7BA0" w:rsidRDefault="00D030BA" w:rsidP="008B7A26">
            <w:pPr>
              <w:widowControl w:val="0"/>
              <w:autoSpaceDE w:val="0"/>
              <w:autoSpaceDN w:val="0"/>
              <w:adjustRightInd w:val="0"/>
              <w:jc w:val="right"/>
              <w:rPr>
                <w:rFonts w:cs="Arial"/>
                <w:b/>
                <w:sz w:val="18"/>
                <w:szCs w:val="18"/>
              </w:rPr>
            </w:pPr>
            <w:r w:rsidRPr="008B7BA0">
              <w:rPr>
                <w:rFonts w:cs="Arial"/>
                <w:b/>
                <w:sz w:val="18"/>
                <w:szCs w:val="18"/>
              </w:rPr>
              <w:t>$28,377,475</w:t>
            </w:r>
          </w:p>
        </w:tc>
      </w:tr>
    </w:tbl>
    <w:p w14:paraId="72F60ABB" w14:textId="77777777" w:rsidR="00A1764B" w:rsidRDefault="00A14529" w:rsidP="00A14529">
      <w:pPr>
        <w:pStyle w:val="Heading1"/>
      </w:pPr>
      <w:bookmarkStart w:id="15" w:name="_Toc377313535"/>
      <w:r>
        <w:t>Acquisition Cost Assessment</w:t>
      </w:r>
      <w:bookmarkEnd w:id="15"/>
    </w:p>
    <w:p w14:paraId="72F60ABE" w14:textId="77777777" w:rsidR="00FD3770" w:rsidRDefault="00A14529" w:rsidP="00A14529">
      <w:pPr>
        <w:pStyle w:val="Heading2"/>
      </w:pPr>
      <w:bookmarkStart w:id="16" w:name="_Toc377313536"/>
      <w:r>
        <w:t>Project Cost Summary</w:t>
      </w:r>
      <w:bookmarkEnd w:id="16"/>
    </w:p>
    <w:p w14:paraId="61F71D10" w14:textId="43791D2C" w:rsidR="00892700" w:rsidRDefault="00AB642C" w:rsidP="00FD3770">
      <w:pPr>
        <w:pStyle w:val="BodyText"/>
      </w:pPr>
      <w:r>
        <w:t xml:space="preserve">The information contained in the table below is </w:t>
      </w:r>
      <w:r w:rsidR="001A3C52">
        <w:t>derived from</w:t>
      </w:r>
      <w:r>
        <w:t xml:space="preserve"> the FAST </w:t>
      </w:r>
      <w:r w:rsidR="00892700">
        <w:t xml:space="preserve">proposal and represents the cost of </w:t>
      </w:r>
      <w:r w:rsidR="00EF4C8F">
        <w:t>implementation</w:t>
      </w:r>
      <w:r w:rsidR="00892700">
        <w:t xml:space="preserve"> of the FAST GenTax solution</w:t>
      </w:r>
      <w:r w:rsidR="00603CA2">
        <w:t xml:space="preserve"> according to FAST’s proposed payment schedule</w:t>
      </w:r>
      <w:r w:rsidR="00892700">
        <w:t xml:space="preserve">.  It depicts, over </w:t>
      </w:r>
      <w:r w:rsidR="00603CA2">
        <w:t xml:space="preserve">the implementation </w:t>
      </w:r>
      <w:r w:rsidR="00892700">
        <w:t>period:</w:t>
      </w:r>
    </w:p>
    <w:p w14:paraId="3D933CCB" w14:textId="1B055964" w:rsidR="00892700" w:rsidRDefault="00892700" w:rsidP="00E7796B">
      <w:pPr>
        <w:pStyle w:val="TableBullet"/>
      </w:pPr>
      <w:r>
        <w:t>FAST GenTax licensing, maintenance, support and warranty</w:t>
      </w:r>
      <w:r w:rsidR="00744D8F">
        <w:t xml:space="preserve"> (note that FAST has committed to implementing the most current version of GenTax throughout implementation; thus there will be no additional cost for upgrade through the implementation time period)</w:t>
      </w:r>
    </w:p>
    <w:p w14:paraId="4CED4577" w14:textId="77777777" w:rsidR="00892700" w:rsidRDefault="00892700" w:rsidP="00E7796B">
      <w:pPr>
        <w:pStyle w:val="TableBullet"/>
      </w:pPr>
      <w:r>
        <w:t>FAST implementation deliverables</w:t>
      </w:r>
    </w:p>
    <w:p w14:paraId="38ACDD05" w14:textId="77777777" w:rsidR="00892700" w:rsidRDefault="00892700" w:rsidP="00E7796B">
      <w:pPr>
        <w:pStyle w:val="TableBullet"/>
      </w:pPr>
      <w:r>
        <w:t>Costs for infrastructure and other FAST required software licensing</w:t>
      </w:r>
      <w:r w:rsidR="00970585">
        <w:t xml:space="preserve"> maintenance and support</w:t>
      </w:r>
    </w:p>
    <w:p w14:paraId="3764F69C" w14:textId="77777777" w:rsidR="00892700" w:rsidRDefault="00892700" w:rsidP="00E7796B">
      <w:pPr>
        <w:pStyle w:val="BodyText"/>
      </w:pPr>
    </w:p>
    <w:p w14:paraId="7E381728" w14:textId="1860EC84" w:rsidR="00892700" w:rsidRDefault="00892700" w:rsidP="00E7796B">
      <w:pPr>
        <w:pStyle w:val="BodyText"/>
      </w:pPr>
      <w:r>
        <w:t xml:space="preserve">The table </w:t>
      </w:r>
      <w:r w:rsidRPr="00545647">
        <w:rPr>
          <w:b/>
        </w:rPr>
        <w:t>does not</w:t>
      </w:r>
      <w:r>
        <w:t xml:space="preserve"> depict any costs associated with VDT legacy syste</w:t>
      </w:r>
      <w:r w:rsidR="000220F0">
        <w:t>ms, portals</w:t>
      </w:r>
      <w:r w:rsidR="00603CA2">
        <w:t>, VDT</w:t>
      </w:r>
      <w:r w:rsidR="000220F0">
        <w:t xml:space="preserve"> staffing</w:t>
      </w:r>
      <w:r w:rsidR="00603CA2">
        <w:t>, or ongoing Maintenance and Support costs for GenTax beyond the implementation time period</w:t>
      </w:r>
      <w:r w:rsidR="000220F0">
        <w:t>.  A comprehensive</w:t>
      </w:r>
      <w:r>
        <w:t xml:space="preserve"> Total Cost of Ownership </w:t>
      </w:r>
      <w:r w:rsidR="00545647">
        <w:t xml:space="preserve">which does identify those values </w:t>
      </w:r>
      <w:r>
        <w:t xml:space="preserve">is </w:t>
      </w:r>
      <w:r w:rsidR="00EF4C8F">
        <w:t xml:space="preserve">included in the Cost Benefit Analysis attachment to this report.  </w:t>
      </w:r>
      <w:r>
        <w:t xml:space="preserve">  </w:t>
      </w:r>
    </w:p>
    <w:p w14:paraId="1516FBA2" w14:textId="0F0B426E" w:rsidR="009D1286" w:rsidRDefault="009D1286" w:rsidP="00E7796B">
      <w:pPr>
        <w:pStyle w:val="Heading4"/>
      </w:pPr>
      <w:r>
        <w:t xml:space="preserve">Table </w:t>
      </w:r>
      <w:r w:rsidR="00545647">
        <w:t xml:space="preserve">7 </w:t>
      </w:r>
      <w:r>
        <w:t xml:space="preserve">– </w:t>
      </w:r>
      <w:r w:rsidR="00636B22">
        <w:t xml:space="preserve">Implementation </w:t>
      </w:r>
      <w:r>
        <w:t>Cost</w:t>
      </w:r>
      <w:r w:rsidR="00892700">
        <w:t xml:space="preserve"> by Year</w:t>
      </w:r>
    </w:p>
    <w:p w14:paraId="6741FD04" w14:textId="77777777" w:rsidR="009D1286" w:rsidRPr="009D1286" w:rsidRDefault="009D1286" w:rsidP="009D1286">
      <w:pPr>
        <w:pStyle w:val="BodyText"/>
      </w:pPr>
    </w:p>
    <w:tbl>
      <w:tblPr>
        <w:tblStyle w:val="TableGrid"/>
        <w:tblW w:w="9720" w:type="dxa"/>
        <w:tblInd w:w="-252" w:type="dxa"/>
        <w:tblLayout w:type="fixed"/>
        <w:tblLook w:val="00A0" w:firstRow="1" w:lastRow="0" w:firstColumn="1" w:lastColumn="0" w:noHBand="0" w:noVBand="0"/>
      </w:tblPr>
      <w:tblGrid>
        <w:gridCol w:w="2178"/>
        <w:gridCol w:w="1098"/>
        <w:gridCol w:w="1044"/>
        <w:gridCol w:w="1080"/>
        <w:gridCol w:w="1080"/>
        <w:gridCol w:w="1080"/>
        <w:gridCol w:w="1080"/>
        <w:gridCol w:w="1080"/>
      </w:tblGrid>
      <w:tr w:rsidR="00636B22" w:rsidRPr="00636B22" w14:paraId="72F60AC7" w14:textId="5C93A987" w:rsidTr="00545647">
        <w:trPr>
          <w:trHeight w:val="260"/>
        </w:trPr>
        <w:tc>
          <w:tcPr>
            <w:tcW w:w="2178" w:type="dxa"/>
            <w:shd w:val="clear" w:color="auto" w:fill="E0E0E0"/>
            <w:vAlign w:val="bottom"/>
          </w:tcPr>
          <w:p w14:paraId="72F60AC1" w14:textId="77777777" w:rsidR="00636B22" w:rsidRPr="00636B22" w:rsidRDefault="00636B22" w:rsidP="0062588C">
            <w:pPr>
              <w:jc w:val="center"/>
              <w:rPr>
                <w:rFonts w:cs="Arial"/>
                <w:sz w:val="16"/>
                <w:szCs w:val="18"/>
              </w:rPr>
            </w:pPr>
            <w:r w:rsidRPr="00636B22">
              <w:rPr>
                <w:rFonts w:cs="Arial"/>
                <w:b/>
                <w:bCs/>
                <w:color w:val="000000"/>
                <w:sz w:val="16"/>
                <w:szCs w:val="18"/>
              </w:rPr>
              <w:t>Cost Component</w:t>
            </w:r>
          </w:p>
        </w:tc>
        <w:tc>
          <w:tcPr>
            <w:tcW w:w="1098" w:type="dxa"/>
            <w:shd w:val="clear" w:color="auto" w:fill="E0E0E0"/>
            <w:vAlign w:val="center"/>
          </w:tcPr>
          <w:p w14:paraId="72F60AC2" w14:textId="77777777" w:rsidR="00636B22" w:rsidRPr="00636B22" w:rsidRDefault="00636B22" w:rsidP="0062588C">
            <w:pPr>
              <w:jc w:val="center"/>
              <w:rPr>
                <w:rFonts w:cs="Arial"/>
                <w:b/>
                <w:bCs/>
                <w:color w:val="000000"/>
                <w:sz w:val="16"/>
                <w:szCs w:val="18"/>
              </w:rPr>
            </w:pPr>
            <w:r w:rsidRPr="00636B22">
              <w:rPr>
                <w:rFonts w:cs="Arial"/>
                <w:b/>
                <w:bCs/>
                <w:color w:val="000000"/>
                <w:sz w:val="16"/>
                <w:szCs w:val="18"/>
              </w:rPr>
              <w:t>FY14</w:t>
            </w:r>
          </w:p>
        </w:tc>
        <w:tc>
          <w:tcPr>
            <w:tcW w:w="1044" w:type="dxa"/>
            <w:shd w:val="clear" w:color="auto" w:fill="E0E0E0"/>
            <w:vAlign w:val="center"/>
          </w:tcPr>
          <w:p w14:paraId="72F60AC3" w14:textId="77777777" w:rsidR="00636B22" w:rsidRPr="00636B22" w:rsidRDefault="00636B22" w:rsidP="0062588C">
            <w:pPr>
              <w:jc w:val="center"/>
              <w:rPr>
                <w:rFonts w:cs="Arial"/>
                <w:b/>
                <w:bCs/>
                <w:color w:val="000000"/>
                <w:sz w:val="16"/>
                <w:szCs w:val="18"/>
              </w:rPr>
            </w:pPr>
            <w:r w:rsidRPr="00636B22">
              <w:rPr>
                <w:rFonts w:cs="Arial"/>
                <w:b/>
                <w:bCs/>
                <w:color w:val="000000"/>
                <w:sz w:val="16"/>
                <w:szCs w:val="18"/>
              </w:rPr>
              <w:t>FY15</w:t>
            </w:r>
          </w:p>
        </w:tc>
        <w:tc>
          <w:tcPr>
            <w:tcW w:w="1080" w:type="dxa"/>
            <w:shd w:val="clear" w:color="auto" w:fill="E0E0E0"/>
            <w:vAlign w:val="center"/>
          </w:tcPr>
          <w:p w14:paraId="72F60AC4" w14:textId="77777777" w:rsidR="00636B22" w:rsidRPr="00636B22" w:rsidRDefault="00636B22" w:rsidP="0062588C">
            <w:pPr>
              <w:jc w:val="center"/>
              <w:rPr>
                <w:rFonts w:cs="Arial"/>
                <w:b/>
                <w:bCs/>
                <w:color w:val="000000"/>
                <w:sz w:val="16"/>
                <w:szCs w:val="18"/>
              </w:rPr>
            </w:pPr>
            <w:r w:rsidRPr="00636B22">
              <w:rPr>
                <w:rFonts w:cs="Arial"/>
                <w:b/>
                <w:bCs/>
                <w:color w:val="000000"/>
                <w:sz w:val="16"/>
                <w:szCs w:val="18"/>
              </w:rPr>
              <w:t>FY16</w:t>
            </w:r>
          </w:p>
        </w:tc>
        <w:tc>
          <w:tcPr>
            <w:tcW w:w="1080" w:type="dxa"/>
            <w:shd w:val="clear" w:color="auto" w:fill="E0E0E0"/>
            <w:vAlign w:val="center"/>
          </w:tcPr>
          <w:p w14:paraId="72F60AC5" w14:textId="77777777" w:rsidR="00636B22" w:rsidRPr="00636B22" w:rsidRDefault="00636B22" w:rsidP="0062588C">
            <w:pPr>
              <w:jc w:val="center"/>
              <w:rPr>
                <w:rFonts w:cs="Arial"/>
                <w:b/>
                <w:bCs/>
                <w:color w:val="000000"/>
                <w:sz w:val="16"/>
                <w:szCs w:val="18"/>
              </w:rPr>
            </w:pPr>
            <w:r w:rsidRPr="00636B22">
              <w:rPr>
                <w:rFonts w:cs="Arial"/>
                <w:b/>
                <w:bCs/>
                <w:color w:val="000000"/>
                <w:sz w:val="16"/>
                <w:szCs w:val="18"/>
              </w:rPr>
              <w:t>FY17</w:t>
            </w:r>
          </w:p>
        </w:tc>
        <w:tc>
          <w:tcPr>
            <w:tcW w:w="1080" w:type="dxa"/>
            <w:shd w:val="clear" w:color="auto" w:fill="E0E0E0"/>
            <w:vAlign w:val="center"/>
          </w:tcPr>
          <w:p w14:paraId="72F60AC6" w14:textId="77777777" w:rsidR="00636B22" w:rsidRPr="00636B22" w:rsidRDefault="00636B22" w:rsidP="0062588C">
            <w:pPr>
              <w:jc w:val="center"/>
              <w:rPr>
                <w:rFonts w:cs="Arial"/>
                <w:b/>
                <w:bCs/>
                <w:color w:val="000000"/>
                <w:sz w:val="16"/>
                <w:szCs w:val="18"/>
              </w:rPr>
            </w:pPr>
            <w:r w:rsidRPr="00636B22">
              <w:rPr>
                <w:rFonts w:cs="Arial"/>
                <w:b/>
                <w:bCs/>
                <w:color w:val="000000"/>
                <w:sz w:val="16"/>
                <w:szCs w:val="18"/>
              </w:rPr>
              <w:t>FY18</w:t>
            </w:r>
          </w:p>
        </w:tc>
        <w:tc>
          <w:tcPr>
            <w:tcW w:w="1080" w:type="dxa"/>
            <w:shd w:val="clear" w:color="auto" w:fill="E0E0E0"/>
            <w:vAlign w:val="center"/>
          </w:tcPr>
          <w:p w14:paraId="24326087" w14:textId="7F7D6EBD" w:rsidR="00636B22" w:rsidRPr="00636B22" w:rsidRDefault="00EF4C8F" w:rsidP="00EF4C8F">
            <w:pPr>
              <w:jc w:val="center"/>
              <w:rPr>
                <w:rFonts w:cs="Arial"/>
                <w:b/>
                <w:bCs/>
                <w:color w:val="000000"/>
                <w:sz w:val="16"/>
                <w:szCs w:val="18"/>
              </w:rPr>
            </w:pPr>
            <w:r>
              <w:rPr>
                <w:rFonts w:cs="Arial"/>
                <w:b/>
                <w:bCs/>
                <w:color w:val="000000"/>
                <w:sz w:val="16"/>
                <w:szCs w:val="18"/>
              </w:rPr>
              <w:t>FY19</w:t>
            </w:r>
          </w:p>
        </w:tc>
        <w:tc>
          <w:tcPr>
            <w:tcW w:w="1080" w:type="dxa"/>
            <w:shd w:val="clear" w:color="auto" w:fill="E0E0E0"/>
            <w:vAlign w:val="center"/>
          </w:tcPr>
          <w:p w14:paraId="27DB758A" w14:textId="0A0E52FB" w:rsidR="00636B22" w:rsidRPr="00636B22" w:rsidRDefault="00EF4C8F" w:rsidP="00EF4C8F">
            <w:pPr>
              <w:jc w:val="center"/>
              <w:rPr>
                <w:rFonts w:cs="Arial"/>
                <w:b/>
                <w:bCs/>
                <w:color w:val="000000"/>
                <w:sz w:val="16"/>
                <w:szCs w:val="18"/>
              </w:rPr>
            </w:pPr>
            <w:r>
              <w:rPr>
                <w:rFonts w:cs="Arial"/>
                <w:b/>
                <w:bCs/>
                <w:color w:val="000000"/>
                <w:sz w:val="16"/>
                <w:szCs w:val="18"/>
              </w:rPr>
              <w:t>FY20</w:t>
            </w:r>
          </w:p>
        </w:tc>
      </w:tr>
      <w:tr w:rsidR="00EF4C8F" w:rsidRPr="00636B22" w14:paraId="72F60ACE" w14:textId="2938EC47" w:rsidTr="00545647">
        <w:tc>
          <w:tcPr>
            <w:tcW w:w="2178" w:type="dxa"/>
            <w:vAlign w:val="bottom"/>
          </w:tcPr>
          <w:p w14:paraId="72F60AC8" w14:textId="3BB770DD" w:rsidR="00636B22" w:rsidRPr="00636B22" w:rsidRDefault="00636B22" w:rsidP="00F52AAA">
            <w:pPr>
              <w:rPr>
                <w:rFonts w:cs="Arial"/>
                <w:color w:val="000000"/>
                <w:sz w:val="16"/>
                <w:szCs w:val="18"/>
              </w:rPr>
            </w:pPr>
            <w:r w:rsidRPr="00636B22">
              <w:rPr>
                <w:rFonts w:cs="Arial"/>
                <w:color w:val="000000"/>
                <w:sz w:val="16"/>
                <w:szCs w:val="18"/>
              </w:rPr>
              <w:t xml:space="preserve">FAST GenTax </w:t>
            </w:r>
            <w:r w:rsidR="00EF4C8F">
              <w:rPr>
                <w:rFonts w:cs="Arial"/>
                <w:color w:val="000000"/>
                <w:sz w:val="16"/>
                <w:szCs w:val="18"/>
              </w:rPr>
              <w:t>Licensing</w:t>
            </w:r>
          </w:p>
        </w:tc>
        <w:tc>
          <w:tcPr>
            <w:tcW w:w="1098" w:type="dxa"/>
            <w:vAlign w:val="center"/>
          </w:tcPr>
          <w:p w14:paraId="72F60AC9" w14:textId="69A579C2" w:rsidR="00636B22" w:rsidRPr="00EF4C8F" w:rsidRDefault="00636B22" w:rsidP="00EF4C8F">
            <w:pPr>
              <w:jc w:val="right"/>
              <w:rPr>
                <w:rFonts w:cs="Arial"/>
                <w:color w:val="000000"/>
                <w:sz w:val="16"/>
                <w:szCs w:val="18"/>
              </w:rPr>
            </w:pPr>
            <w:r w:rsidRPr="00EF4C8F">
              <w:rPr>
                <w:rFonts w:cs="Arial"/>
                <w:color w:val="000000"/>
                <w:sz w:val="16"/>
                <w:szCs w:val="18"/>
              </w:rPr>
              <w:t>$4,200,000</w:t>
            </w:r>
          </w:p>
        </w:tc>
        <w:tc>
          <w:tcPr>
            <w:tcW w:w="1044" w:type="dxa"/>
            <w:vAlign w:val="center"/>
          </w:tcPr>
          <w:p w14:paraId="72F60ACA" w14:textId="77777777" w:rsidR="00636B22" w:rsidRPr="00EF4C8F" w:rsidRDefault="00636B22"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72F60ACB" w14:textId="77777777" w:rsidR="00636B22" w:rsidRPr="00EF4C8F" w:rsidRDefault="00636B22"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72F60ACC" w14:textId="77777777" w:rsidR="00636B22" w:rsidRPr="00EF4C8F" w:rsidRDefault="00636B22"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72F60ACD" w14:textId="77777777" w:rsidR="00636B22" w:rsidRPr="00EF4C8F" w:rsidRDefault="00636B22"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16936D96" w14:textId="087CACB7" w:rsidR="00636B22" w:rsidRPr="00EF4C8F" w:rsidRDefault="00EF4C8F" w:rsidP="00EF4C8F">
            <w:pPr>
              <w:jc w:val="right"/>
              <w:rPr>
                <w:rFonts w:cs="Arial"/>
                <w:bCs/>
                <w:color w:val="000000"/>
                <w:sz w:val="16"/>
                <w:szCs w:val="18"/>
              </w:rPr>
            </w:pPr>
            <w:r w:rsidRPr="00EF4C8F">
              <w:rPr>
                <w:rFonts w:cs="Arial"/>
                <w:bCs/>
                <w:color w:val="000000"/>
                <w:sz w:val="16"/>
                <w:szCs w:val="18"/>
              </w:rPr>
              <w:t>$0</w:t>
            </w:r>
          </w:p>
        </w:tc>
        <w:tc>
          <w:tcPr>
            <w:tcW w:w="1080" w:type="dxa"/>
            <w:vAlign w:val="center"/>
          </w:tcPr>
          <w:p w14:paraId="07CD1BAA" w14:textId="5FD4B11E" w:rsidR="00636B22"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15D02A53" w14:textId="62AB0141" w:rsidTr="00545647">
        <w:tc>
          <w:tcPr>
            <w:tcW w:w="2178" w:type="dxa"/>
            <w:vAlign w:val="bottom"/>
          </w:tcPr>
          <w:p w14:paraId="392F5F4A" w14:textId="47B9B1C2" w:rsidR="00636B22" w:rsidRPr="00636B22" w:rsidRDefault="00636B22" w:rsidP="00AE7DA5">
            <w:pPr>
              <w:rPr>
                <w:rFonts w:cs="Arial"/>
                <w:color w:val="000000"/>
                <w:sz w:val="16"/>
                <w:szCs w:val="18"/>
              </w:rPr>
            </w:pPr>
            <w:r w:rsidRPr="00636B22">
              <w:rPr>
                <w:rFonts w:cs="Arial"/>
                <w:color w:val="000000"/>
                <w:sz w:val="16"/>
                <w:szCs w:val="18"/>
              </w:rPr>
              <w:t>FAST Maintenance</w:t>
            </w:r>
          </w:p>
        </w:tc>
        <w:tc>
          <w:tcPr>
            <w:tcW w:w="1098" w:type="dxa"/>
            <w:vAlign w:val="center"/>
          </w:tcPr>
          <w:p w14:paraId="69677A17" w14:textId="77777777" w:rsidR="00636B22" w:rsidRPr="00EF4C8F" w:rsidRDefault="00636B22" w:rsidP="00EF4C8F">
            <w:pPr>
              <w:jc w:val="right"/>
              <w:rPr>
                <w:rFonts w:cs="Arial"/>
                <w:color w:val="000000"/>
                <w:sz w:val="16"/>
                <w:szCs w:val="18"/>
              </w:rPr>
            </w:pPr>
            <w:r w:rsidRPr="00EF4C8F">
              <w:rPr>
                <w:rFonts w:cs="Arial"/>
                <w:color w:val="000000"/>
                <w:sz w:val="16"/>
                <w:szCs w:val="18"/>
              </w:rPr>
              <w:t>$250,000</w:t>
            </w:r>
          </w:p>
        </w:tc>
        <w:tc>
          <w:tcPr>
            <w:tcW w:w="1044" w:type="dxa"/>
            <w:vAlign w:val="center"/>
          </w:tcPr>
          <w:p w14:paraId="41C3A6E3" w14:textId="31FA907E" w:rsidR="00636B22" w:rsidRPr="00EF4C8F" w:rsidRDefault="00636B22" w:rsidP="00EF4C8F">
            <w:pPr>
              <w:jc w:val="right"/>
              <w:rPr>
                <w:rFonts w:cs="Arial"/>
                <w:color w:val="000000"/>
                <w:sz w:val="16"/>
                <w:szCs w:val="18"/>
              </w:rPr>
            </w:pPr>
            <w:r w:rsidRPr="00EF4C8F">
              <w:rPr>
                <w:rFonts w:cs="Arial"/>
                <w:color w:val="000000"/>
                <w:sz w:val="16"/>
                <w:szCs w:val="18"/>
              </w:rPr>
              <w:t>$500,000</w:t>
            </w:r>
          </w:p>
        </w:tc>
        <w:tc>
          <w:tcPr>
            <w:tcW w:w="1080" w:type="dxa"/>
            <w:vAlign w:val="center"/>
          </w:tcPr>
          <w:p w14:paraId="09E626D6" w14:textId="74860B76" w:rsidR="00636B22" w:rsidRPr="00EF4C8F" w:rsidRDefault="00636B22" w:rsidP="00EF4C8F">
            <w:pPr>
              <w:jc w:val="right"/>
              <w:rPr>
                <w:rFonts w:cs="Arial"/>
                <w:color w:val="000000"/>
                <w:sz w:val="16"/>
                <w:szCs w:val="18"/>
              </w:rPr>
            </w:pPr>
            <w:r w:rsidRPr="00EF4C8F">
              <w:rPr>
                <w:rFonts w:cs="Arial"/>
                <w:color w:val="000000"/>
                <w:sz w:val="16"/>
                <w:szCs w:val="18"/>
              </w:rPr>
              <w:t>$750,000</w:t>
            </w:r>
          </w:p>
        </w:tc>
        <w:tc>
          <w:tcPr>
            <w:tcW w:w="1080" w:type="dxa"/>
            <w:vAlign w:val="center"/>
          </w:tcPr>
          <w:p w14:paraId="5D6CA772" w14:textId="557297F7" w:rsidR="00636B22" w:rsidRPr="00EF4C8F" w:rsidRDefault="00636B22" w:rsidP="00EF4C8F">
            <w:pPr>
              <w:jc w:val="right"/>
              <w:rPr>
                <w:rFonts w:cs="Arial"/>
                <w:color w:val="000000"/>
                <w:sz w:val="16"/>
                <w:szCs w:val="18"/>
              </w:rPr>
            </w:pPr>
            <w:r w:rsidRPr="00EF4C8F">
              <w:rPr>
                <w:rFonts w:cs="Arial"/>
                <w:color w:val="000000"/>
                <w:sz w:val="16"/>
                <w:szCs w:val="18"/>
              </w:rPr>
              <w:t>$1,000,000</w:t>
            </w:r>
          </w:p>
        </w:tc>
        <w:tc>
          <w:tcPr>
            <w:tcW w:w="1080" w:type="dxa"/>
            <w:vAlign w:val="center"/>
          </w:tcPr>
          <w:p w14:paraId="2C60BA19" w14:textId="283CC05D" w:rsidR="00636B22" w:rsidRPr="00EF4C8F" w:rsidRDefault="00636B22" w:rsidP="00EF4C8F">
            <w:pPr>
              <w:jc w:val="right"/>
              <w:rPr>
                <w:rFonts w:cs="Arial"/>
                <w:color w:val="000000"/>
                <w:sz w:val="16"/>
                <w:szCs w:val="18"/>
              </w:rPr>
            </w:pPr>
            <w:r w:rsidRPr="00EF4C8F">
              <w:rPr>
                <w:rFonts w:cs="Arial"/>
                <w:color w:val="000000"/>
                <w:sz w:val="16"/>
                <w:szCs w:val="18"/>
              </w:rPr>
              <w:t>$1,200,000</w:t>
            </w:r>
          </w:p>
        </w:tc>
        <w:tc>
          <w:tcPr>
            <w:tcW w:w="1080" w:type="dxa"/>
            <w:vAlign w:val="center"/>
          </w:tcPr>
          <w:p w14:paraId="13E98961" w14:textId="445BA8EA" w:rsidR="00636B22" w:rsidRPr="00EF4C8F" w:rsidRDefault="00EF4C8F" w:rsidP="00EF4C8F">
            <w:pPr>
              <w:jc w:val="right"/>
              <w:rPr>
                <w:rFonts w:cs="Arial"/>
                <w:bCs/>
                <w:color w:val="000000"/>
                <w:sz w:val="16"/>
                <w:szCs w:val="18"/>
              </w:rPr>
            </w:pPr>
            <w:r>
              <w:rPr>
                <w:rFonts w:cs="Arial"/>
                <w:bCs/>
                <w:color w:val="000000"/>
                <w:sz w:val="16"/>
                <w:szCs w:val="18"/>
              </w:rPr>
              <w:t>$0</w:t>
            </w:r>
          </w:p>
        </w:tc>
        <w:tc>
          <w:tcPr>
            <w:tcW w:w="1080" w:type="dxa"/>
            <w:vAlign w:val="center"/>
          </w:tcPr>
          <w:p w14:paraId="555BF2CE" w14:textId="497267EF" w:rsidR="00636B22"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3F937BB7" w14:textId="7B00BD67" w:rsidTr="00545647">
        <w:tc>
          <w:tcPr>
            <w:tcW w:w="2178" w:type="dxa"/>
            <w:vAlign w:val="bottom"/>
          </w:tcPr>
          <w:p w14:paraId="64B61CE0" w14:textId="3DC53BB6" w:rsidR="00636B22" w:rsidRPr="00636B22" w:rsidRDefault="00636B22" w:rsidP="00AE7DA5">
            <w:pPr>
              <w:rPr>
                <w:rFonts w:cs="Arial"/>
                <w:color w:val="000000"/>
                <w:sz w:val="16"/>
                <w:szCs w:val="18"/>
              </w:rPr>
            </w:pPr>
            <w:r w:rsidRPr="00636B22">
              <w:rPr>
                <w:rFonts w:cs="Arial"/>
                <w:color w:val="000000"/>
                <w:sz w:val="16"/>
                <w:szCs w:val="18"/>
              </w:rPr>
              <w:t>FAST Warranty</w:t>
            </w:r>
          </w:p>
        </w:tc>
        <w:tc>
          <w:tcPr>
            <w:tcW w:w="1098" w:type="dxa"/>
            <w:vAlign w:val="center"/>
          </w:tcPr>
          <w:p w14:paraId="397EB436" w14:textId="23E53A71" w:rsidR="00636B22" w:rsidRPr="00EF4C8F" w:rsidRDefault="00636B22" w:rsidP="00EF4C8F">
            <w:pPr>
              <w:jc w:val="right"/>
              <w:rPr>
                <w:rFonts w:cs="Arial"/>
                <w:color w:val="000000"/>
                <w:sz w:val="16"/>
                <w:szCs w:val="18"/>
              </w:rPr>
            </w:pPr>
            <w:r w:rsidRPr="00EF4C8F">
              <w:rPr>
                <w:rFonts w:cs="Arial"/>
                <w:color w:val="000000"/>
                <w:sz w:val="16"/>
                <w:szCs w:val="18"/>
              </w:rPr>
              <w:t>$0</w:t>
            </w:r>
          </w:p>
        </w:tc>
        <w:tc>
          <w:tcPr>
            <w:tcW w:w="1044" w:type="dxa"/>
            <w:vAlign w:val="center"/>
          </w:tcPr>
          <w:p w14:paraId="4CD4589A" w14:textId="2BFFBE92" w:rsidR="00636B22" w:rsidRPr="00EF4C8F" w:rsidRDefault="00636B22" w:rsidP="00EF4C8F">
            <w:pPr>
              <w:jc w:val="right"/>
              <w:rPr>
                <w:rFonts w:cs="Arial"/>
                <w:color w:val="000000"/>
                <w:sz w:val="16"/>
                <w:szCs w:val="18"/>
              </w:rPr>
            </w:pPr>
            <w:r w:rsidRPr="00EF4C8F">
              <w:rPr>
                <w:rFonts w:cs="Arial"/>
                <w:color w:val="000000"/>
                <w:sz w:val="16"/>
                <w:szCs w:val="18"/>
              </w:rPr>
              <w:t>$500,000</w:t>
            </w:r>
          </w:p>
        </w:tc>
        <w:tc>
          <w:tcPr>
            <w:tcW w:w="1080" w:type="dxa"/>
            <w:vAlign w:val="center"/>
          </w:tcPr>
          <w:p w14:paraId="0957F5BF" w14:textId="0D3E9F63" w:rsidR="00636B22" w:rsidRPr="00EF4C8F" w:rsidRDefault="00636B22" w:rsidP="00EF4C8F">
            <w:pPr>
              <w:jc w:val="right"/>
              <w:rPr>
                <w:rFonts w:cs="Arial"/>
                <w:color w:val="000000"/>
                <w:sz w:val="16"/>
                <w:szCs w:val="18"/>
              </w:rPr>
            </w:pPr>
            <w:r w:rsidRPr="00EF4C8F">
              <w:rPr>
                <w:rFonts w:cs="Arial"/>
                <w:color w:val="000000"/>
                <w:sz w:val="16"/>
                <w:szCs w:val="18"/>
              </w:rPr>
              <w:t>$1,000,000</w:t>
            </w:r>
          </w:p>
        </w:tc>
        <w:tc>
          <w:tcPr>
            <w:tcW w:w="1080" w:type="dxa"/>
            <w:vAlign w:val="center"/>
          </w:tcPr>
          <w:p w14:paraId="0E7B6626" w14:textId="36756338" w:rsidR="00636B22" w:rsidRPr="00EF4C8F" w:rsidRDefault="00636B22" w:rsidP="00EF4C8F">
            <w:pPr>
              <w:jc w:val="right"/>
              <w:rPr>
                <w:rFonts w:cs="Arial"/>
                <w:color w:val="000000"/>
                <w:sz w:val="16"/>
                <w:szCs w:val="18"/>
              </w:rPr>
            </w:pPr>
            <w:r w:rsidRPr="00EF4C8F">
              <w:rPr>
                <w:rFonts w:cs="Arial"/>
                <w:color w:val="000000"/>
                <w:sz w:val="16"/>
                <w:szCs w:val="18"/>
              </w:rPr>
              <w:t>$500,000</w:t>
            </w:r>
          </w:p>
        </w:tc>
        <w:tc>
          <w:tcPr>
            <w:tcW w:w="1080" w:type="dxa"/>
            <w:vAlign w:val="center"/>
          </w:tcPr>
          <w:p w14:paraId="2F0A7767" w14:textId="506C3568" w:rsidR="00636B22" w:rsidRPr="00EF4C8F" w:rsidRDefault="00636B22" w:rsidP="00EF4C8F">
            <w:pPr>
              <w:jc w:val="right"/>
              <w:rPr>
                <w:rFonts w:cs="Arial"/>
                <w:color w:val="000000"/>
                <w:sz w:val="16"/>
                <w:szCs w:val="18"/>
              </w:rPr>
            </w:pPr>
            <w:r w:rsidRPr="00EF4C8F">
              <w:rPr>
                <w:rFonts w:cs="Arial"/>
                <w:color w:val="000000"/>
                <w:sz w:val="16"/>
                <w:szCs w:val="18"/>
              </w:rPr>
              <w:t>$1,000,000</w:t>
            </w:r>
          </w:p>
        </w:tc>
        <w:tc>
          <w:tcPr>
            <w:tcW w:w="1080" w:type="dxa"/>
            <w:vAlign w:val="center"/>
          </w:tcPr>
          <w:p w14:paraId="00681CC9" w14:textId="6F5ED6DF" w:rsidR="00636B22" w:rsidRPr="00EF4C8F" w:rsidRDefault="00EF4C8F" w:rsidP="00EF4C8F">
            <w:pPr>
              <w:jc w:val="right"/>
              <w:rPr>
                <w:rFonts w:cs="Arial"/>
                <w:bCs/>
                <w:color w:val="000000"/>
                <w:sz w:val="16"/>
                <w:szCs w:val="18"/>
              </w:rPr>
            </w:pPr>
            <w:r>
              <w:rPr>
                <w:rFonts w:cs="Arial"/>
                <w:bCs/>
                <w:color w:val="000000"/>
                <w:sz w:val="16"/>
                <w:szCs w:val="18"/>
              </w:rPr>
              <w:t>$1,000,000</w:t>
            </w:r>
          </w:p>
        </w:tc>
        <w:tc>
          <w:tcPr>
            <w:tcW w:w="1080" w:type="dxa"/>
            <w:vAlign w:val="center"/>
          </w:tcPr>
          <w:p w14:paraId="666F0B6E" w14:textId="246629F7" w:rsidR="00636B22"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1FD74129" w14:textId="4D167445" w:rsidTr="00545647">
        <w:tc>
          <w:tcPr>
            <w:tcW w:w="2178" w:type="dxa"/>
            <w:vAlign w:val="bottom"/>
          </w:tcPr>
          <w:p w14:paraId="7E2CC41F" w14:textId="77777777" w:rsidR="00636B22" w:rsidRPr="00636B22" w:rsidRDefault="00636B22" w:rsidP="00AE7DA5">
            <w:pPr>
              <w:rPr>
                <w:rFonts w:cs="Arial"/>
                <w:color w:val="000000"/>
                <w:sz w:val="16"/>
                <w:szCs w:val="18"/>
              </w:rPr>
            </w:pPr>
            <w:r w:rsidRPr="00636B22">
              <w:rPr>
                <w:rFonts w:cs="Arial"/>
                <w:color w:val="000000"/>
                <w:sz w:val="16"/>
                <w:szCs w:val="18"/>
              </w:rPr>
              <w:t xml:space="preserve">FAST Deliverable Cost </w:t>
            </w:r>
          </w:p>
        </w:tc>
        <w:tc>
          <w:tcPr>
            <w:tcW w:w="1098" w:type="dxa"/>
            <w:vAlign w:val="center"/>
          </w:tcPr>
          <w:p w14:paraId="166CC7DC" w14:textId="6249BD5B" w:rsidR="00636B22" w:rsidRPr="00EF4C8F" w:rsidRDefault="00636B22" w:rsidP="00EF4C8F">
            <w:pPr>
              <w:jc w:val="right"/>
              <w:rPr>
                <w:rFonts w:cs="Arial"/>
                <w:color w:val="000000"/>
                <w:sz w:val="16"/>
                <w:szCs w:val="18"/>
              </w:rPr>
            </w:pPr>
            <w:r w:rsidRPr="00EF4C8F">
              <w:rPr>
                <w:rFonts w:cs="Arial"/>
                <w:color w:val="000000"/>
                <w:sz w:val="16"/>
                <w:szCs w:val="18"/>
              </w:rPr>
              <w:t>$3,045,750</w:t>
            </w:r>
          </w:p>
        </w:tc>
        <w:tc>
          <w:tcPr>
            <w:tcW w:w="1044" w:type="dxa"/>
            <w:vAlign w:val="center"/>
          </w:tcPr>
          <w:p w14:paraId="663BFA4B" w14:textId="41F23F73" w:rsidR="00636B22" w:rsidRPr="00EF4C8F" w:rsidRDefault="00636B22" w:rsidP="00EF4C8F">
            <w:pPr>
              <w:jc w:val="right"/>
              <w:rPr>
                <w:rFonts w:cs="Arial"/>
                <w:color w:val="000000"/>
                <w:sz w:val="16"/>
                <w:szCs w:val="18"/>
              </w:rPr>
            </w:pPr>
            <w:r w:rsidRPr="00EF4C8F">
              <w:rPr>
                <w:rFonts w:cs="Arial"/>
                <w:color w:val="000000"/>
                <w:sz w:val="16"/>
                <w:szCs w:val="18"/>
              </w:rPr>
              <w:t>$4,460,126</w:t>
            </w:r>
          </w:p>
        </w:tc>
        <w:tc>
          <w:tcPr>
            <w:tcW w:w="1080" w:type="dxa"/>
            <w:vAlign w:val="center"/>
          </w:tcPr>
          <w:p w14:paraId="25FDF201" w14:textId="38A5E413" w:rsidR="00636B22" w:rsidRPr="00EF4C8F" w:rsidRDefault="00EF4C8F" w:rsidP="00EF4C8F">
            <w:pPr>
              <w:jc w:val="right"/>
              <w:rPr>
                <w:rFonts w:cs="Arial"/>
                <w:color w:val="000000"/>
                <w:sz w:val="16"/>
                <w:szCs w:val="18"/>
              </w:rPr>
            </w:pPr>
            <w:r>
              <w:rPr>
                <w:rFonts w:cs="Arial"/>
                <w:color w:val="000000"/>
                <w:sz w:val="16"/>
                <w:szCs w:val="18"/>
              </w:rPr>
              <w:t>$1,902,626</w:t>
            </w:r>
          </w:p>
        </w:tc>
        <w:tc>
          <w:tcPr>
            <w:tcW w:w="1080" w:type="dxa"/>
            <w:vAlign w:val="center"/>
          </w:tcPr>
          <w:p w14:paraId="1A39D347" w14:textId="5298274F" w:rsidR="00636B22" w:rsidRPr="00EF4C8F" w:rsidRDefault="00EF4C8F" w:rsidP="00EF4C8F">
            <w:pPr>
              <w:jc w:val="right"/>
              <w:rPr>
                <w:rFonts w:cs="Arial"/>
                <w:color w:val="000000"/>
                <w:sz w:val="16"/>
                <w:szCs w:val="18"/>
              </w:rPr>
            </w:pPr>
            <w:r>
              <w:rPr>
                <w:rFonts w:cs="Arial"/>
                <w:color w:val="000000"/>
                <w:sz w:val="16"/>
                <w:szCs w:val="18"/>
              </w:rPr>
              <w:t>$3,549,500</w:t>
            </w:r>
          </w:p>
        </w:tc>
        <w:tc>
          <w:tcPr>
            <w:tcW w:w="1080" w:type="dxa"/>
            <w:vAlign w:val="center"/>
          </w:tcPr>
          <w:p w14:paraId="376B0623" w14:textId="0578EE21" w:rsidR="00636B22" w:rsidRPr="00EF4C8F" w:rsidRDefault="00636B22" w:rsidP="00EF4C8F">
            <w:pPr>
              <w:jc w:val="right"/>
              <w:rPr>
                <w:rFonts w:cs="Arial"/>
                <w:color w:val="000000"/>
                <w:sz w:val="16"/>
                <w:szCs w:val="18"/>
              </w:rPr>
            </w:pPr>
            <w:r w:rsidRPr="00EF4C8F">
              <w:rPr>
                <w:rFonts w:cs="Arial"/>
                <w:color w:val="000000"/>
                <w:sz w:val="16"/>
                <w:szCs w:val="18"/>
              </w:rPr>
              <w:t>$2,464,500</w:t>
            </w:r>
          </w:p>
        </w:tc>
        <w:tc>
          <w:tcPr>
            <w:tcW w:w="1080" w:type="dxa"/>
            <w:vAlign w:val="center"/>
          </w:tcPr>
          <w:p w14:paraId="67F657CA" w14:textId="3228E069" w:rsidR="00636B22" w:rsidRPr="00EF4C8F" w:rsidRDefault="00EF4C8F" w:rsidP="00EF4C8F">
            <w:pPr>
              <w:jc w:val="right"/>
              <w:rPr>
                <w:rFonts w:cs="Arial"/>
                <w:bCs/>
                <w:color w:val="000000"/>
                <w:sz w:val="16"/>
                <w:szCs w:val="18"/>
              </w:rPr>
            </w:pPr>
            <w:r>
              <w:rPr>
                <w:rFonts w:cs="Arial"/>
                <w:bCs/>
                <w:color w:val="000000"/>
                <w:sz w:val="16"/>
                <w:szCs w:val="18"/>
              </w:rPr>
              <w:t>$0</w:t>
            </w:r>
          </w:p>
        </w:tc>
        <w:tc>
          <w:tcPr>
            <w:tcW w:w="1080" w:type="dxa"/>
            <w:vAlign w:val="center"/>
          </w:tcPr>
          <w:p w14:paraId="717757D3" w14:textId="6535E666" w:rsidR="00636B22" w:rsidRPr="00EF4C8F" w:rsidRDefault="00EF4C8F" w:rsidP="00EF4C8F">
            <w:pPr>
              <w:jc w:val="right"/>
              <w:rPr>
                <w:rFonts w:cs="Arial"/>
                <w:color w:val="000000"/>
                <w:sz w:val="16"/>
                <w:szCs w:val="18"/>
              </w:rPr>
            </w:pPr>
            <w:r>
              <w:rPr>
                <w:rFonts w:cs="Arial"/>
                <w:color w:val="000000"/>
                <w:sz w:val="16"/>
                <w:szCs w:val="18"/>
              </w:rPr>
              <w:t>$77,500</w:t>
            </w:r>
          </w:p>
        </w:tc>
      </w:tr>
      <w:tr w:rsidR="00EF4C8F" w:rsidRPr="00636B22" w14:paraId="72F60AD5" w14:textId="0A7134EA" w:rsidTr="00545647">
        <w:tc>
          <w:tcPr>
            <w:tcW w:w="2178" w:type="dxa"/>
            <w:vAlign w:val="bottom"/>
          </w:tcPr>
          <w:p w14:paraId="72F60ACF" w14:textId="6E76A1FB" w:rsidR="00636B22" w:rsidRPr="00636B22" w:rsidRDefault="00636B22">
            <w:pPr>
              <w:rPr>
                <w:rFonts w:cs="Arial"/>
                <w:color w:val="000000"/>
                <w:sz w:val="16"/>
                <w:szCs w:val="18"/>
              </w:rPr>
            </w:pPr>
            <w:r w:rsidRPr="00636B22">
              <w:rPr>
                <w:rFonts w:cs="Arial"/>
                <w:color w:val="000000"/>
                <w:sz w:val="16"/>
                <w:szCs w:val="18"/>
              </w:rPr>
              <w:t>Hardware Cost</w:t>
            </w:r>
          </w:p>
        </w:tc>
        <w:tc>
          <w:tcPr>
            <w:tcW w:w="1098" w:type="dxa"/>
            <w:vAlign w:val="center"/>
          </w:tcPr>
          <w:p w14:paraId="72F60AD0" w14:textId="7E5BCCD3" w:rsidR="00636B22" w:rsidRPr="00EF4C8F" w:rsidRDefault="00EF4C8F" w:rsidP="00EF4C8F">
            <w:pPr>
              <w:jc w:val="right"/>
              <w:rPr>
                <w:rFonts w:cs="Arial"/>
                <w:color w:val="000000"/>
                <w:sz w:val="16"/>
                <w:szCs w:val="18"/>
              </w:rPr>
            </w:pPr>
            <w:r>
              <w:rPr>
                <w:rFonts w:cs="Arial"/>
                <w:color w:val="000000"/>
                <w:sz w:val="16"/>
                <w:szCs w:val="18"/>
              </w:rPr>
              <w:t>$353,500</w:t>
            </w:r>
          </w:p>
        </w:tc>
        <w:tc>
          <w:tcPr>
            <w:tcW w:w="1044" w:type="dxa"/>
            <w:vAlign w:val="center"/>
          </w:tcPr>
          <w:p w14:paraId="72F60AD1" w14:textId="22CDC38C" w:rsidR="00636B22" w:rsidRPr="00EF4C8F" w:rsidRDefault="00EF4C8F" w:rsidP="00EF4C8F">
            <w:pPr>
              <w:jc w:val="right"/>
              <w:rPr>
                <w:rFonts w:cs="Arial"/>
                <w:color w:val="000000"/>
                <w:sz w:val="16"/>
                <w:szCs w:val="18"/>
              </w:rPr>
            </w:pPr>
            <w:r>
              <w:rPr>
                <w:rFonts w:cs="Arial"/>
                <w:color w:val="000000"/>
                <w:sz w:val="16"/>
                <w:szCs w:val="18"/>
              </w:rPr>
              <w:t>$0</w:t>
            </w:r>
          </w:p>
        </w:tc>
        <w:tc>
          <w:tcPr>
            <w:tcW w:w="1080" w:type="dxa"/>
            <w:vAlign w:val="center"/>
          </w:tcPr>
          <w:p w14:paraId="72F60AD2" w14:textId="7188BB49" w:rsidR="00636B22" w:rsidRPr="00EF4C8F" w:rsidRDefault="00EF4C8F" w:rsidP="00EF4C8F">
            <w:pPr>
              <w:jc w:val="right"/>
              <w:rPr>
                <w:rFonts w:cs="Arial"/>
                <w:color w:val="000000"/>
                <w:sz w:val="16"/>
                <w:szCs w:val="18"/>
              </w:rPr>
            </w:pPr>
            <w:r>
              <w:rPr>
                <w:rFonts w:cs="Arial"/>
                <w:color w:val="000000"/>
                <w:sz w:val="16"/>
                <w:szCs w:val="18"/>
              </w:rPr>
              <w:t>$0</w:t>
            </w:r>
          </w:p>
        </w:tc>
        <w:tc>
          <w:tcPr>
            <w:tcW w:w="1080" w:type="dxa"/>
            <w:vAlign w:val="center"/>
          </w:tcPr>
          <w:p w14:paraId="72F60AD3" w14:textId="2585DF80" w:rsidR="00636B22" w:rsidRPr="00EF4C8F" w:rsidRDefault="00EF4C8F" w:rsidP="00EF4C8F">
            <w:pPr>
              <w:jc w:val="right"/>
              <w:rPr>
                <w:rFonts w:cs="Arial"/>
                <w:color w:val="000000"/>
                <w:sz w:val="16"/>
                <w:szCs w:val="18"/>
              </w:rPr>
            </w:pPr>
            <w:r>
              <w:rPr>
                <w:rFonts w:cs="Arial"/>
                <w:color w:val="000000"/>
                <w:sz w:val="16"/>
                <w:szCs w:val="18"/>
              </w:rPr>
              <w:t>$0</w:t>
            </w:r>
          </w:p>
        </w:tc>
        <w:tc>
          <w:tcPr>
            <w:tcW w:w="1080" w:type="dxa"/>
            <w:vAlign w:val="center"/>
          </w:tcPr>
          <w:p w14:paraId="72F60AD4" w14:textId="1BDBEE45" w:rsidR="00636B22" w:rsidRPr="00EF4C8F" w:rsidRDefault="00EF4C8F" w:rsidP="00EF4C8F">
            <w:pPr>
              <w:jc w:val="right"/>
              <w:rPr>
                <w:rFonts w:cs="Arial"/>
                <w:color w:val="000000"/>
                <w:sz w:val="16"/>
                <w:szCs w:val="18"/>
              </w:rPr>
            </w:pPr>
            <w:r>
              <w:rPr>
                <w:rFonts w:cs="Arial"/>
                <w:color w:val="000000"/>
                <w:sz w:val="16"/>
                <w:szCs w:val="18"/>
              </w:rPr>
              <w:t>$0</w:t>
            </w:r>
          </w:p>
        </w:tc>
        <w:tc>
          <w:tcPr>
            <w:tcW w:w="1080" w:type="dxa"/>
            <w:vAlign w:val="center"/>
          </w:tcPr>
          <w:p w14:paraId="4C09BFD2" w14:textId="5F508C74" w:rsidR="00636B22" w:rsidRPr="00EF4C8F" w:rsidRDefault="00EF4C8F" w:rsidP="00EF4C8F">
            <w:pPr>
              <w:jc w:val="right"/>
              <w:rPr>
                <w:rFonts w:cs="Arial"/>
                <w:bCs/>
                <w:color w:val="000000"/>
                <w:sz w:val="16"/>
                <w:szCs w:val="18"/>
              </w:rPr>
            </w:pPr>
            <w:r>
              <w:rPr>
                <w:rFonts w:cs="Arial"/>
                <w:color w:val="000000"/>
                <w:sz w:val="16"/>
                <w:szCs w:val="18"/>
              </w:rPr>
              <w:t>$0</w:t>
            </w:r>
          </w:p>
        </w:tc>
        <w:tc>
          <w:tcPr>
            <w:tcW w:w="1080" w:type="dxa"/>
            <w:vAlign w:val="center"/>
          </w:tcPr>
          <w:p w14:paraId="3407A0D8" w14:textId="3029319B" w:rsidR="00636B22"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298A3803" w14:textId="23B23BE9" w:rsidTr="00545647">
        <w:tc>
          <w:tcPr>
            <w:tcW w:w="2178" w:type="dxa"/>
            <w:vAlign w:val="bottom"/>
          </w:tcPr>
          <w:p w14:paraId="1F0260A9" w14:textId="4BF8017B" w:rsidR="00EF4C8F" w:rsidRPr="00636B22" w:rsidRDefault="00EF4C8F" w:rsidP="00EF4C8F">
            <w:pPr>
              <w:rPr>
                <w:rFonts w:cs="Arial"/>
                <w:color w:val="000000"/>
                <w:sz w:val="16"/>
                <w:szCs w:val="18"/>
              </w:rPr>
            </w:pPr>
            <w:r w:rsidRPr="00636B22">
              <w:rPr>
                <w:rFonts w:cs="Arial"/>
                <w:color w:val="000000"/>
                <w:sz w:val="16"/>
                <w:szCs w:val="18"/>
              </w:rPr>
              <w:t xml:space="preserve">Other </w:t>
            </w:r>
            <w:r>
              <w:rPr>
                <w:rFonts w:cs="Arial"/>
                <w:color w:val="000000"/>
                <w:sz w:val="16"/>
                <w:szCs w:val="18"/>
              </w:rPr>
              <w:t>SW</w:t>
            </w:r>
            <w:r w:rsidRPr="00636B22">
              <w:rPr>
                <w:rFonts w:cs="Arial"/>
                <w:color w:val="000000"/>
                <w:sz w:val="16"/>
                <w:szCs w:val="18"/>
              </w:rPr>
              <w:t xml:space="preserve"> Licensing</w:t>
            </w:r>
          </w:p>
        </w:tc>
        <w:tc>
          <w:tcPr>
            <w:tcW w:w="1098" w:type="dxa"/>
            <w:vAlign w:val="center"/>
          </w:tcPr>
          <w:p w14:paraId="3942F0D6" w14:textId="152D5461" w:rsidR="00EF4C8F" w:rsidRPr="00EF4C8F" w:rsidRDefault="00EF4C8F" w:rsidP="00EF4C8F">
            <w:pPr>
              <w:jc w:val="right"/>
              <w:rPr>
                <w:rFonts w:cs="Arial"/>
                <w:color w:val="000000"/>
                <w:sz w:val="16"/>
                <w:szCs w:val="18"/>
              </w:rPr>
            </w:pPr>
            <w:r w:rsidRPr="00EF4C8F">
              <w:rPr>
                <w:rFonts w:cs="Arial"/>
                <w:color w:val="000000"/>
                <w:sz w:val="16"/>
                <w:szCs w:val="18"/>
              </w:rPr>
              <w:t>$277,350</w:t>
            </w:r>
          </w:p>
        </w:tc>
        <w:tc>
          <w:tcPr>
            <w:tcW w:w="1044" w:type="dxa"/>
            <w:vAlign w:val="center"/>
          </w:tcPr>
          <w:p w14:paraId="581E197B" w14:textId="0B54292E" w:rsidR="00EF4C8F" w:rsidRPr="00EF4C8F" w:rsidRDefault="00EF4C8F"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15C4786D" w14:textId="36BC7E3D" w:rsidR="00EF4C8F" w:rsidRPr="00EF4C8F" w:rsidRDefault="00EF4C8F"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2D4CA0ED" w14:textId="7843AA4C" w:rsidR="00EF4C8F" w:rsidRPr="00EF4C8F" w:rsidRDefault="00EF4C8F"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6FC667D5" w14:textId="56E91208" w:rsidR="00EF4C8F" w:rsidRPr="00EF4C8F" w:rsidRDefault="00EF4C8F" w:rsidP="00EF4C8F">
            <w:pPr>
              <w:jc w:val="right"/>
              <w:rPr>
                <w:rFonts w:cs="Arial"/>
                <w:color w:val="000000"/>
                <w:sz w:val="16"/>
                <w:szCs w:val="18"/>
              </w:rPr>
            </w:pPr>
            <w:r w:rsidRPr="00EF4C8F">
              <w:rPr>
                <w:rFonts w:cs="Arial"/>
                <w:color w:val="000000"/>
                <w:sz w:val="16"/>
                <w:szCs w:val="18"/>
              </w:rPr>
              <w:t>$0</w:t>
            </w:r>
          </w:p>
        </w:tc>
        <w:tc>
          <w:tcPr>
            <w:tcW w:w="1080" w:type="dxa"/>
            <w:vAlign w:val="center"/>
          </w:tcPr>
          <w:p w14:paraId="76D8EF73" w14:textId="27E529C2" w:rsidR="00EF4C8F" w:rsidRPr="00EF4C8F" w:rsidRDefault="00EF4C8F" w:rsidP="00EF4C8F">
            <w:pPr>
              <w:jc w:val="right"/>
              <w:rPr>
                <w:rFonts w:cs="Arial"/>
                <w:bCs/>
                <w:color w:val="000000"/>
                <w:sz w:val="16"/>
                <w:szCs w:val="18"/>
              </w:rPr>
            </w:pPr>
            <w:r>
              <w:rPr>
                <w:rFonts w:cs="Arial"/>
                <w:color w:val="000000"/>
                <w:sz w:val="16"/>
                <w:szCs w:val="18"/>
              </w:rPr>
              <w:t>$0</w:t>
            </w:r>
          </w:p>
        </w:tc>
        <w:tc>
          <w:tcPr>
            <w:tcW w:w="1080" w:type="dxa"/>
            <w:vAlign w:val="center"/>
          </w:tcPr>
          <w:p w14:paraId="07B13164" w14:textId="1D7FC807" w:rsidR="00EF4C8F"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71B0D0C1" w14:textId="33C07157" w:rsidTr="00545647">
        <w:tc>
          <w:tcPr>
            <w:tcW w:w="2178" w:type="dxa"/>
            <w:vAlign w:val="bottom"/>
          </w:tcPr>
          <w:p w14:paraId="5E1DCB95" w14:textId="184A8FDA" w:rsidR="00EF4C8F" w:rsidRPr="00636B22" w:rsidRDefault="00EF4C8F" w:rsidP="00EF4C8F">
            <w:pPr>
              <w:rPr>
                <w:rFonts w:cs="Arial"/>
                <w:color w:val="000000"/>
                <w:sz w:val="16"/>
                <w:szCs w:val="18"/>
              </w:rPr>
            </w:pPr>
            <w:r w:rsidRPr="00636B22">
              <w:rPr>
                <w:rFonts w:cs="Arial"/>
                <w:color w:val="000000"/>
                <w:sz w:val="16"/>
                <w:szCs w:val="18"/>
              </w:rPr>
              <w:t xml:space="preserve">Other </w:t>
            </w:r>
            <w:r>
              <w:rPr>
                <w:rFonts w:cs="Arial"/>
                <w:color w:val="000000"/>
                <w:sz w:val="16"/>
                <w:szCs w:val="18"/>
              </w:rPr>
              <w:t>SW</w:t>
            </w:r>
            <w:r w:rsidRPr="00636B22">
              <w:rPr>
                <w:rFonts w:cs="Arial"/>
                <w:color w:val="000000"/>
                <w:sz w:val="16"/>
                <w:szCs w:val="18"/>
              </w:rPr>
              <w:t xml:space="preserve"> Maint. &amp; Support</w:t>
            </w:r>
          </w:p>
        </w:tc>
        <w:tc>
          <w:tcPr>
            <w:tcW w:w="1098" w:type="dxa"/>
            <w:vAlign w:val="center"/>
          </w:tcPr>
          <w:p w14:paraId="3817EDA5" w14:textId="119FB5A9" w:rsidR="00EF4C8F" w:rsidRPr="00EF4C8F" w:rsidRDefault="00EF4C8F" w:rsidP="00EF4C8F">
            <w:pPr>
              <w:jc w:val="right"/>
              <w:rPr>
                <w:rFonts w:cs="Arial"/>
                <w:color w:val="000000"/>
                <w:sz w:val="16"/>
                <w:szCs w:val="18"/>
              </w:rPr>
            </w:pPr>
            <w:r w:rsidRPr="00EF4C8F">
              <w:rPr>
                <w:rFonts w:cs="Arial"/>
                <w:color w:val="000000"/>
                <w:sz w:val="16"/>
                <w:szCs w:val="18"/>
              </w:rPr>
              <w:t>$69,325</w:t>
            </w:r>
          </w:p>
        </w:tc>
        <w:tc>
          <w:tcPr>
            <w:tcW w:w="1044" w:type="dxa"/>
            <w:vAlign w:val="center"/>
          </w:tcPr>
          <w:p w14:paraId="0904969B" w14:textId="5BD4BABE" w:rsidR="00EF4C8F" w:rsidRPr="00EF4C8F" w:rsidRDefault="00EF4C8F" w:rsidP="00EF4C8F">
            <w:pPr>
              <w:jc w:val="right"/>
              <w:rPr>
                <w:rFonts w:cs="Arial"/>
                <w:color w:val="000000"/>
                <w:sz w:val="16"/>
                <w:szCs w:val="18"/>
              </w:rPr>
            </w:pPr>
            <w:r w:rsidRPr="00EF4C8F">
              <w:rPr>
                <w:rFonts w:cs="Arial"/>
                <w:color w:val="000000"/>
                <w:sz w:val="16"/>
                <w:szCs w:val="18"/>
              </w:rPr>
              <w:t>$69,325</w:t>
            </w:r>
          </w:p>
        </w:tc>
        <w:tc>
          <w:tcPr>
            <w:tcW w:w="1080" w:type="dxa"/>
            <w:vAlign w:val="center"/>
          </w:tcPr>
          <w:p w14:paraId="10126C9D" w14:textId="787FC8A3" w:rsidR="00EF4C8F" w:rsidRPr="00EF4C8F" w:rsidRDefault="00EF4C8F" w:rsidP="00EF4C8F">
            <w:pPr>
              <w:jc w:val="right"/>
              <w:rPr>
                <w:rFonts w:cs="Arial"/>
                <w:color w:val="000000"/>
                <w:sz w:val="16"/>
                <w:szCs w:val="18"/>
              </w:rPr>
            </w:pPr>
            <w:r w:rsidRPr="00EF4C8F">
              <w:rPr>
                <w:rFonts w:cs="Arial"/>
                <w:color w:val="000000"/>
                <w:sz w:val="16"/>
                <w:szCs w:val="18"/>
              </w:rPr>
              <w:t>$69,325</w:t>
            </w:r>
          </w:p>
        </w:tc>
        <w:tc>
          <w:tcPr>
            <w:tcW w:w="1080" w:type="dxa"/>
            <w:vAlign w:val="center"/>
          </w:tcPr>
          <w:p w14:paraId="2DDD6E45" w14:textId="608440CA" w:rsidR="00EF4C8F" w:rsidRPr="00EF4C8F" w:rsidRDefault="00EF4C8F" w:rsidP="00EF4C8F">
            <w:pPr>
              <w:jc w:val="right"/>
              <w:rPr>
                <w:rFonts w:cs="Arial"/>
                <w:color w:val="000000"/>
                <w:sz w:val="16"/>
                <w:szCs w:val="18"/>
              </w:rPr>
            </w:pPr>
            <w:r w:rsidRPr="00EF4C8F">
              <w:rPr>
                <w:rFonts w:cs="Arial"/>
                <w:color w:val="000000"/>
                <w:sz w:val="16"/>
                <w:szCs w:val="18"/>
              </w:rPr>
              <w:t>$69,325</w:t>
            </w:r>
          </w:p>
        </w:tc>
        <w:tc>
          <w:tcPr>
            <w:tcW w:w="1080" w:type="dxa"/>
            <w:vAlign w:val="center"/>
          </w:tcPr>
          <w:p w14:paraId="22DC1F7D" w14:textId="5D79AF0B" w:rsidR="00EF4C8F" w:rsidRPr="00EF4C8F" w:rsidRDefault="00EF4C8F" w:rsidP="00EF4C8F">
            <w:pPr>
              <w:jc w:val="right"/>
              <w:rPr>
                <w:rFonts w:cs="Arial"/>
                <w:color w:val="000000"/>
                <w:sz w:val="16"/>
                <w:szCs w:val="18"/>
              </w:rPr>
            </w:pPr>
            <w:r w:rsidRPr="00EF4C8F">
              <w:rPr>
                <w:rFonts w:cs="Arial"/>
                <w:color w:val="000000"/>
                <w:sz w:val="16"/>
                <w:szCs w:val="18"/>
              </w:rPr>
              <w:t>$69,325</w:t>
            </w:r>
          </w:p>
        </w:tc>
        <w:tc>
          <w:tcPr>
            <w:tcW w:w="1080" w:type="dxa"/>
            <w:vAlign w:val="center"/>
          </w:tcPr>
          <w:p w14:paraId="3818EE93" w14:textId="4EEDD0AB" w:rsidR="00EF4C8F" w:rsidRPr="00EF4C8F" w:rsidRDefault="00EF4C8F" w:rsidP="00EF4C8F">
            <w:pPr>
              <w:jc w:val="right"/>
              <w:rPr>
                <w:rFonts w:cs="Arial"/>
                <w:bCs/>
                <w:color w:val="000000"/>
                <w:sz w:val="16"/>
                <w:szCs w:val="18"/>
              </w:rPr>
            </w:pPr>
            <w:r>
              <w:rPr>
                <w:rFonts w:cs="Arial"/>
                <w:color w:val="000000"/>
                <w:sz w:val="16"/>
                <w:szCs w:val="18"/>
              </w:rPr>
              <w:t>$0</w:t>
            </w:r>
          </w:p>
        </w:tc>
        <w:tc>
          <w:tcPr>
            <w:tcW w:w="1080" w:type="dxa"/>
            <w:vAlign w:val="center"/>
          </w:tcPr>
          <w:p w14:paraId="78C8F04B" w14:textId="146B15E0" w:rsidR="00EF4C8F" w:rsidRPr="00EF4C8F" w:rsidRDefault="00EF4C8F" w:rsidP="00EF4C8F">
            <w:pPr>
              <w:jc w:val="right"/>
              <w:rPr>
                <w:rFonts w:cs="Arial"/>
                <w:color w:val="000000"/>
                <w:sz w:val="16"/>
                <w:szCs w:val="18"/>
              </w:rPr>
            </w:pPr>
            <w:r>
              <w:rPr>
                <w:rFonts w:cs="Arial"/>
                <w:color w:val="000000"/>
                <w:sz w:val="16"/>
                <w:szCs w:val="18"/>
              </w:rPr>
              <w:t>$0</w:t>
            </w:r>
          </w:p>
        </w:tc>
      </w:tr>
      <w:tr w:rsidR="00EF4C8F" w:rsidRPr="00636B22" w14:paraId="72F60AF1" w14:textId="4FB75758" w:rsidTr="00545647">
        <w:tc>
          <w:tcPr>
            <w:tcW w:w="2178" w:type="dxa"/>
            <w:vAlign w:val="bottom"/>
          </w:tcPr>
          <w:p w14:paraId="72F60AEB" w14:textId="4A1A06A2" w:rsidR="00EF4C8F" w:rsidRPr="00636B22" w:rsidRDefault="00EF4C8F" w:rsidP="007A722A">
            <w:pPr>
              <w:jc w:val="right"/>
              <w:rPr>
                <w:rFonts w:cs="Arial"/>
                <w:b/>
                <w:bCs/>
                <w:color w:val="000000"/>
                <w:sz w:val="16"/>
                <w:szCs w:val="18"/>
              </w:rPr>
            </w:pPr>
            <w:r w:rsidRPr="00636B22">
              <w:rPr>
                <w:rFonts w:cs="Arial"/>
                <w:b/>
                <w:bCs/>
                <w:color w:val="000000"/>
                <w:sz w:val="16"/>
                <w:szCs w:val="18"/>
              </w:rPr>
              <w:t>Total</w:t>
            </w:r>
          </w:p>
        </w:tc>
        <w:tc>
          <w:tcPr>
            <w:tcW w:w="1098" w:type="dxa"/>
            <w:vAlign w:val="center"/>
          </w:tcPr>
          <w:p w14:paraId="72F60AEC" w14:textId="273BF4E4" w:rsidR="00EF4C8F" w:rsidRPr="00EF4C8F" w:rsidRDefault="00EF4C8F" w:rsidP="00EF4C8F">
            <w:pPr>
              <w:jc w:val="right"/>
              <w:rPr>
                <w:rFonts w:cs="Arial"/>
                <w:b/>
                <w:color w:val="000000"/>
                <w:sz w:val="16"/>
                <w:szCs w:val="18"/>
              </w:rPr>
            </w:pPr>
            <w:r w:rsidRPr="00EF4C8F">
              <w:rPr>
                <w:rFonts w:cs="Arial"/>
                <w:b/>
                <w:color w:val="000000"/>
                <w:sz w:val="16"/>
                <w:szCs w:val="18"/>
              </w:rPr>
              <w:t xml:space="preserve">$8,195,925 </w:t>
            </w:r>
          </w:p>
        </w:tc>
        <w:tc>
          <w:tcPr>
            <w:tcW w:w="1044" w:type="dxa"/>
            <w:vAlign w:val="center"/>
          </w:tcPr>
          <w:p w14:paraId="72F60AED" w14:textId="422E841A" w:rsidR="00EF4C8F" w:rsidRPr="00EF4C8F" w:rsidRDefault="00EF4C8F" w:rsidP="00EF4C8F">
            <w:pPr>
              <w:jc w:val="right"/>
              <w:rPr>
                <w:rFonts w:cs="Arial"/>
                <w:b/>
                <w:color w:val="000000"/>
                <w:sz w:val="16"/>
                <w:szCs w:val="18"/>
              </w:rPr>
            </w:pPr>
            <w:r w:rsidRPr="00EF4C8F">
              <w:rPr>
                <w:rFonts w:cs="Arial"/>
                <w:b/>
                <w:color w:val="000000"/>
                <w:sz w:val="16"/>
                <w:szCs w:val="18"/>
              </w:rPr>
              <w:t xml:space="preserve">$5,529,451 </w:t>
            </w:r>
          </w:p>
        </w:tc>
        <w:tc>
          <w:tcPr>
            <w:tcW w:w="1080" w:type="dxa"/>
            <w:vAlign w:val="center"/>
          </w:tcPr>
          <w:p w14:paraId="72F60AEE" w14:textId="0D8EB8E8" w:rsidR="00EF4C8F" w:rsidRPr="00EF4C8F" w:rsidRDefault="00EF4C8F" w:rsidP="00EF4C8F">
            <w:pPr>
              <w:jc w:val="right"/>
              <w:rPr>
                <w:rFonts w:cs="Arial"/>
                <w:b/>
                <w:color w:val="000000"/>
                <w:sz w:val="16"/>
                <w:szCs w:val="18"/>
              </w:rPr>
            </w:pPr>
            <w:r w:rsidRPr="00EF4C8F">
              <w:rPr>
                <w:rFonts w:cs="Arial"/>
                <w:b/>
                <w:color w:val="000000"/>
                <w:sz w:val="16"/>
                <w:szCs w:val="18"/>
              </w:rPr>
              <w:t xml:space="preserve">$3,721,951 </w:t>
            </w:r>
          </w:p>
        </w:tc>
        <w:tc>
          <w:tcPr>
            <w:tcW w:w="1080" w:type="dxa"/>
            <w:vAlign w:val="center"/>
          </w:tcPr>
          <w:p w14:paraId="72F60AEF" w14:textId="37585F7E" w:rsidR="00EF4C8F" w:rsidRPr="00EF4C8F" w:rsidRDefault="00EF4C8F" w:rsidP="00EF4C8F">
            <w:pPr>
              <w:jc w:val="right"/>
              <w:rPr>
                <w:rFonts w:cs="Arial"/>
                <w:b/>
                <w:color w:val="000000"/>
                <w:sz w:val="16"/>
                <w:szCs w:val="18"/>
              </w:rPr>
            </w:pPr>
            <w:r w:rsidRPr="00EF4C8F">
              <w:rPr>
                <w:rFonts w:cs="Arial"/>
                <w:b/>
                <w:color w:val="000000"/>
                <w:sz w:val="16"/>
                <w:szCs w:val="18"/>
              </w:rPr>
              <w:t xml:space="preserve">$5,118,825 </w:t>
            </w:r>
          </w:p>
        </w:tc>
        <w:tc>
          <w:tcPr>
            <w:tcW w:w="1080" w:type="dxa"/>
            <w:vAlign w:val="center"/>
          </w:tcPr>
          <w:p w14:paraId="72F60AF0" w14:textId="54543BFD" w:rsidR="00EF4C8F" w:rsidRPr="00EF4C8F" w:rsidRDefault="00EF4C8F" w:rsidP="00EF4C8F">
            <w:pPr>
              <w:jc w:val="right"/>
              <w:rPr>
                <w:rFonts w:cs="Arial"/>
                <w:b/>
                <w:color w:val="000000"/>
                <w:sz w:val="16"/>
                <w:szCs w:val="18"/>
              </w:rPr>
            </w:pPr>
            <w:r w:rsidRPr="00EF4C8F">
              <w:rPr>
                <w:rFonts w:cs="Arial"/>
                <w:b/>
                <w:color w:val="000000"/>
                <w:sz w:val="16"/>
                <w:szCs w:val="18"/>
              </w:rPr>
              <w:t xml:space="preserve">$4,733,825 </w:t>
            </w:r>
          </w:p>
        </w:tc>
        <w:tc>
          <w:tcPr>
            <w:tcW w:w="1080" w:type="dxa"/>
            <w:vAlign w:val="center"/>
          </w:tcPr>
          <w:p w14:paraId="281206FA" w14:textId="1C5A5669" w:rsidR="00EF4C8F" w:rsidRPr="00EF4C8F" w:rsidRDefault="00EF4C8F" w:rsidP="00EF4C8F">
            <w:pPr>
              <w:jc w:val="right"/>
              <w:rPr>
                <w:rFonts w:cs="Arial"/>
                <w:b/>
                <w:color w:val="000000"/>
                <w:sz w:val="16"/>
                <w:szCs w:val="18"/>
              </w:rPr>
            </w:pPr>
            <w:r w:rsidRPr="00EF4C8F">
              <w:rPr>
                <w:rFonts w:cs="Arial"/>
                <w:b/>
                <w:color w:val="000000"/>
                <w:sz w:val="16"/>
                <w:szCs w:val="18"/>
              </w:rPr>
              <w:t xml:space="preserve">$1,000,000 </w:t>
            </w:r>
          </w:p>
        </w:tc>
        <w:tc>
          <w:tcPr>
            <w:tcW w:w="1080" w:type="dxa"/>
            <w:vAlign w:val="center"/>
          </w:tcPr>
          <w:p w14:paraId="479EAC9A" w14:textId="50B1AF45" w:rsidR="00EF4C8F" w:rsidRPr="00EF4C8F" w:rsidRDefault="00EF4C8F" w:rsidP="00EF4C8F">
            <w:pPr>
              <w:jc w:val="right"/>
              <w:rPr>
                <w:rFonts w:cs="Arial"/>
                <w:b/>
                <w:color w:val="000000"/>
                <w:sz w:val="16"/>
                <w:szCs w:val="18"/>
              </w:rPr>
            </w:pPr>
            <w:r w:rsidRPr="00EF4C8F">
              <w:rPr>
                <w:rFonts w:cs="Arial"/>
                <w:b/>
                <w:color w:val="000000"/>
                <w:sz w:val="16"/>
                <w:szCs w:val="18"/>
              </w:rPr>
              <w:t xml:space="preserve">$77,500 </w:t>
            </w:r>
          </w:p>
        </w:tc>
      </w:tr>
    </w:tbl>
    <w:p w14:paraId="72F60B26" w14:textId="3E0022FE" w:rsidR="003B7130" w:rsidRPr="00545647" w:rsidRDefault="00603CA2" w:rsidP="00FD3770">
      <w:pPr>
        <w:pStyle w:val="BodyText"/>
        <w:rPr>
          <w:i/>
          <w:sz w:val="18"/>
        </w:rPr>
      </w:pPr>
      <w:r w:rsidRPr="00545647">
        <w:rPr>
          <w:i/>
          <w:sz w:val="18"/>
        </w:rPr>
        <w:t>This table shows all costs included in FAST’s fixed fee of $28,377,47</w:t>
      </w:r>
      <w:r>
        <w:rPr>
          <w:i/>
          <w:sz w:val="18"/>
        </w:rPr>
        <w:t>5</w:t>
      </w:r>
      <w:r w:rsidRPr="00545647">
        <w:rPr>
          <w:i/>
          <w:sz w:val="18"/>
        </w:rPr>
        <w:t xml:space="preserve"> for the GenTax implementation.  Additional costs for maintenance and support as well as ongoing operations to maintain the GenTax system can be found in the Cost Benefit Analysis attachment to this report.</w:t>
      </w:r>
    </w:p>
    <w:p w14:paraId="76E95250" w14:textId="77777777" w:rsidR="00545647" w:rsidRDefault="00545647">
      <w:pPr>
        <w:rPr>
          <w:rFonts w:ascii="Trebuchet MS" w:hAnsi="Trebuchet MS" w:cs="Arial"/>
          <w:b/>
          <w:bCs/>
          <w:iCs/>
          <w:sz w:val="30"/>
          <w:szCs w:val="28"/>
        </w:rPr>
      </w:pPr>
      <w:bookmarkStart w:id="17" w:name="_Toc372436288"/>
      <w:bookmarkEnd w:id="17"/>
      <w:r>
        <w:br w:type="page"/>
      </w:r>
    </w:p>
    <w:p w14:paraId="72F60B6E" w14:textId="4050CD86" w:rsidR="00835FC0" w:rsidRDefault="00200697" w:rsidP="00200697">
      <w:pPr>
        <w:pStyle w:val="Heading2"/>
      </w:pPr>
      <w:bookmarkStart w:id="18" w:name="_Toc377313537"/>
      <w:r>
        <w:t>Cost of Hardware</w:t>
      </w:r>
      <w:bookmarkEnd w:id="18"/>
    </w:p>
    <w:p w14:paraId="72F60B6F" w14:textId="4968DB57" w:rsidR="00072FBC" w:rsidRDefault="00072FBC" w:rsidP="00835FC0">
      <w:pPr>
        <w:pStyle w:val="BodyText"/>
      </w:pPr>
      <w:r>
        <w:t xml:space="preserve">The hardware descriptions, quantities and total cost are described in the table below.  </w:t>
      </w:r>
      <w:r w:rsidR="00493235">
        <w:t>Per the FAST response, t</w:t>
      </w:r>
      <w:r>
        <w:t>he</w:t>
      </w:r>
      <w:r w:rsidR="00B02A82">
        <w:t xml:space="preserve"> hardware</w:t>
      </w:r>
      <w:r>
        <w:t xml:space="preserve"> lifecycle is anticipated to be five years.  </w:t>
      </w:r>
      <w:r w:rsidR="00493235">
        <w:t>Per VDT, a</w:t>
      </w:r>
      <w:r w:rsidR="00B02A82">
        <w:t xml:space="preserve"> technology refresh is anticipated in year 6 estimated at the same cost for the first five years </w:t>
      </w:r>
      <w:r w:rsidR="00603CA2">
        <w:t xml:space="preserve">(FY14 – FY18) </w:t>
      </w:r>
      <w:r w:rsidR="00B02A82">
        <w:t>given a fairly constant price per MIPS.</w:t>
      </w:r>
      <w:r w:rsidR="008D6A54">
        <w:t xml:space="preserve">  </w:t>
      </w:r>
    </w:p>
    <w:p w14:paraId="4AF73D35" w14:textId="624895C4" w:rsidR="009D1286" w:rsidRDefault="008D6A54" w:rsidP="00E7796B">
      <w:pPr>
        <w:pStyle w:val="Heading4"/>
      </w:pPr>
      <w:r>
        <w:t xml:space="preserve">Table </w:t>
      </w:r>
      <w:r w:rsidR="000220F0">
        <w:t>8</w:t>
      </w:r>
      <w:r>
        <w:t xml:space="preserve"> – Hardware Cost</w:t>
      </w:r>
    </w:p>
    <w:p w14:paraId="56B3870C" w14:textId="77777777" w:rsidR="00545647" w:rsidRPr="00545647" w:rsidRDefault="00545647" w:rsidP="00545647">
      <w:pPr>
        <w:pStyle w:val="BodyText"/>
      </w:pPr>
    </w:p>
    <w:tbl>
      <w:tblPr>
        <w:tblStyle w:val="TableGrid"/>
        <w:tblW w:w="0" w:type="auto"/>
        <w:tblLayout w:type="fixed"/>
        <w:tblLook w:val="00A0" w:firstRow="1" w:lastRow="0" w:firstColumn="1" w:lastColumn="0" w:noHBand="0" w:noVBand="0"/>
      </w:tblPr>
      <w:tblGrid>
        <w:gridCol w:w="2538"/>
        <w:gridCol w:w="4320"/>
        <w:gridCol w:w="990"/>
        <w:gridCol w:w="1181"/>
      </w:tblGrid>
      <w:tr w:rsidR="00383839" w:rsidRPr="007103F0" w14:paraId="72F60B75" w14:textId="77777777" w:rsidTr="00383839">
        <w:tc>
          <w:tcPr>
            <w:tcW w:w="2538" w:type="dxa"/>
            <w:shd w:val="clear" w:color="auto" w:fill="BFBFBF" w:themeFill="background1" w:themeFillShade="BF"/>
            <w:vAlign w:val="center"/>
          </w:tcPr>
          <w:p w14:paraId="72F60B71" w14:textId="77777777" w:rsidR="00835FC0" w:rsidRPr="007103F0" w:rsidRDefault="00681D51" w:rsidP="00493235">
            <w:pPr>
              <w:pStyle w:val="BodyText"/>
              <w:spacing w:after="0"/>
              <w:rPr>
                <w:b/>
                <w:sz w:val="18"/>
                <w:szCs w:val="18"/>
              </w:rPr>
            </w:pPr>
            <w:r w:rsidRPr="007103F0">
              <w:rPr>
                <w:b/>
                <w:sz w:val="18"/>
                <w:szCs w:val="18"/>
              </w:rPr>
              <w:t>Hardware Component</w:t>
            </w:r>
          </w:p>
        </w:tc>
        <w:tc>
          <w:tcPr>
            <w:tcW w:w="4320" w:type="dxa"/>
            <w:shd w:val="clear" w:color="auto" w:fill="BFBFBF" w:themeFill="background1" w:themeFillShade="BF"/>
            <w:vAlign w:val="center"/>
          </w:tcPr>
          <w:p w14:paraId="72F60B72" w14:textId="77777777" w:rsidR="00835FC0" w:rsidRPr="007103F0" w:rsidRDefault="00681D51" w:rsidP="00493235">
            <w:pPr>
              <w:pStyle w:val="BodyText"/>
              <w:spacing w:after="0"/>
              <w:rPr>
                <w:b/>
                <w:sz w:val="18"/>
                <w:szCs w:val="18"/>
              </w:rPr>
            </w:pPr>
            <w:r w:rsidRPr="007103F0">
              <w:rPr>
                <w:b/>
                <w:sz w:val="18"/>
                <w:szCs w:val="18"/>
              </w:rPr>
              <w:t>Description/ Manufacture</w:t>
            </w:r>
          </w:p>
        </w:tc>
        <w:tc>
          <w:tcPr>
            <w:tcW w:w="990" w:type="dxa"/>
            <w:shd w:val="clear" w:color="auto" w:fill="BFBFBF" w:themeFill="background1" w:themeFillShade="BF"/>
            <w:vAlign w:val="center"/>
          </w:tcPr>
          <w:p w14:paraId="72F60B73" w14:textId="77777777" w:rsidR="00835FC0" w:rsidRPr="007103F0" w:rsidRDefault="00681D51" w:rsidP="00493235">
            <w:pPr>
              <w:pStyle w:val="BodyText"/>
              <w:spacing w:after="0"/>
              <w:jc w:val="center"/>
              <w:rPr>
                <w:b/>
                <w:sz w:val="18"/>
                <w:szCs w:val="18"/>
              </w:rPr>
            </w:pPr>
            <w:r w:rsidRPr="007103F0">
              <w:rPr>
                <w:b/>
                <w:sz w:val="18"/>
                <w:szCs w:val="18"/>
              </w:rPr>
              <w:t>Quantity</w:t>
            </w:r>
          </w:p>
        </w:tc>
        <w:tc>
          <w:tcPr>
            <w:tcW w:w="1181" w:type="dxa"/>
            <w:shd w:val="clear" w:color="auto" w:fill="BFBFBF" w:themeFill="background1" w:themeFillShade="BF"/>
            <w:vAlign w:val="center"/>
          </w:tcPr>
          <w:p w14:paraId="72F60B74" w14:textId="1079FF4C" w:rsidR="00835FC0" w:rsidRPr="007103F0" w:rsidRDefault="00681D51" w:rsidP="00493235">
            <w:pPr>
              <w:pStyle w:val="BodyText"/>
              <w:spacing w:after="0"/>
              <w:jc w:val="right"/>
              <w:rPr>
                <w:b/>
                <w:sz w:val="18"/>
                <w:szCs w:val="18"/>
              </w:rPr>
            </w:pPr>
            <w:r w:rsidRPr="007103F0">
              <w:rPr>
                <w:b/>
                <w:sz w:val="18"/>
                <w:szCs w:val="18"/>
              </w:rPr>
              <w:t>Cost</w:t>
            </w:r>
          </w:p>
        </w:tc>
      </w:tr>
      <w:tr w:rsidR="00681D51" w:rsidRPr="007103F0" w14:paraId="72F60B7A" w14:textId="77777777" w:rsidTr="00383839">
        <w:tc>
          <w:tcPr>
            <w:tcW w:w="2538" w:type="dxa"/>
          </w:tcPr>
          <w:p w14:paraId="72F60B76"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Database server</w:t>
            </w:r>
          </w:p>
        </w:tc>
        <w:tc>
          <w:tcPr>
            <w:tcW w:w="4320" w:type="dxa"/>
          </w:tcPr>
          <w:p w14:paraId="72F60B77"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 xml:space="preserve">Dell PowerEdge R720 </w:t>
            </w:r>
          </w:p>
        </w:tc>
        <w:tc>
          <w:tcPr>
            <w:tcW w:w="990" w:type="dxa"/>
          </w:tcPr>
          <w:p w14:paraId="72F60B78"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5</w:t>
            </w:r>
          </w:p>
        </w:tc>
        <w:tc>
          <w:tcPr>
            <w:tcW w:w="1181" w:type="dxa"/>
          </w:tcPr>
          <w:p w14:paraId="72F60B79"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$75,000</w:t>
            </w:r>
          </w:p>
        </w:tc>
      </w:tr>
      <w:tr w:rsidR="00681D51" w:rsidRPr="007103F0" w14:paraId="72F60B7F" w14:textId="77777777" w:rsidTr="00383839">
        <w:tc>
          <w:tcPr>
            <w:tcW w:w="2538" w:type="dxa"/>
          </w:tcPr>
          <w:p w14:paraId="72F60B7B"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VMware hosts</w:t>
            </w:r>
          </w:p>
        </w:tc>
        <w:tc>
          <w:tcPr>
            <w:tcW w:w="4320" w:type="dxa"/>
          </w:tcPr>
          <w:p w14:paraId="72F60B7C"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Dell PowerEdge R720</w:t>
            </w:r>
          </w:p>
        </w:tc>
        <w:tc>
          <w:tcPr>
            <w:tcW w:w="990" w:type="dxa"/>
          </w:tcPr>
          <w:p w14:paraId="72F60B7D"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6</w:t>
            </w:r>
          </w:p>
        </w:tc>
        <w:tc>
          <w:tcPr>
            <w:tcW w:w="1181" w:type="dxa"/>
          </w:tcPr>
          <w:p w14:paraId="72F60B7E"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$90,000</w:t>
            </w:r>
          </w:p>
        </w:tc>
      </w:tr>
      <w:tr w:rsidR="00681D51" w:rsidRPr="007103F0" w14:paraId="72F60B84" w14:textId="77777777" w:rsidTr="00383839">
        <w:tc>
          <w:tcPr>
            <w:tcW w:w="2538" w:type="dxa"/>
          </w:tcPr>
          <w:p w14:paraId="72F60B80"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VMware Manage server</w:t>
            </w:r>
          </w:p>
        </w:tc>
        <w:tc>
          <w:tcPr>
            <w:tcW w:w="4320" w:type="dxa"/>
          </w:tcPr>
          <w:p w14:paraId="72F60B81"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Dell PowerEdge R720</w:t>
            </w:r>
          </w:p>
        </w:tc>
        <w:tc>
          <w:tcPr>
            <w:tcW w:w="990" w:type="dxa"/>
          </w:tcPr>
          <w:p w14:paraId="72F60B82"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1</w:t>
            </w:r>
          </w:p>
        </w:tc>
        <w:tc>
          <w:tcPr>
            <w:tcW w:w="1181" w:type="dxa"/>
          </w:tcPr>
          <w:p w14:paraId="72F60B83"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$5,000</w:t>
            </w:r>
          </w:p>
        </w:tc>
      </w:tr>
      <w:tr w:rsidR="00681D51" w:rsidRPr="007103F0" w14:paraId="72F60B8C" w14:textId="77777777" w:rsidTr="00383839">
        <w:tc>
          <w:tcPr>
            <w:tcW w:w="2538" w:type="dxa"/>
          </w:tcPr>
          <w:p w14:paraId="72F60B85"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 xml:space="preserve">Switching </w:t>
            </w:r>
          </w:p>
        </w:tc>
        <w:tc>
          <w:tcPr>
            <w:tcW w:w="4320" w:type="dxa"/>
          </w:tcPr>
          <w:p w14:paraId="72F60B86"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 xml:space="preserve">Dell Force10 S55(1) – Primary network switch </w:t>
            </w:r>
          </w:p>
          <w:p w14:paraId="72F60B87"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Dell Force10 S4810(1) – iSCSI SAN switch</w:t>
            </w:r>
          </w:p>
        </w:tc>
        <w:tc>
          <w:tcPr>
            <w:tcW w:w="990" w:type="dxa"/>
          </w:tcPr>
          <w:p w14:paraId="72F60B88"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2</w:t>
            </w:r>
          </w:p>
          <w:p w14:paraId="72F60B8A"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2</w:t>
            </w:r>
          </w:p>
        </w:tc>
        <w:tc>
          <w:tcPr>
            <w:tcW w:w="1181" w:type="dxa"/>
          </w:tcPr>
          <w:p w14:paraId="72F60B8B"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$53,000</w:t>
            </w:r>
          </w:p>
        </w:tc>
      </w:tr>
      <w:tr w:rsidR="00681D51" w:rsidRPr="007103F0" w14:paraId="72F60B91" w14:textId="77777777" w:rsidTr="00383839">
        <w:tc>
          <w:tcPr>
            <w:tcW w:w="2538" w:type="dxa"/>
          </w:tcPr>
          <w:p w14:paraId="72F60B8D"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 xml:space="preserve">Firewall </w:t>
            </w:r>
          </w:p>
        </w:tc>
        <w:tc>
          <w:tcPr>
            <w:tcW w:w="4320" w:type="dxa"/>
          </w:tcPr>
          <w:p w14:paraId="72F60B8E"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Cisco ASA 5520 Adaptive Security Appliance Firewall for e-Services and network zone</w:t>
            </w:r>
          </w:p>
        </w:tc>
        <w:tc>
          <w:tcPr>
            <w:tcW w:w="990" w:type="dxa"/>
          </w:tcPr>
          <w:p w14:paraId="72F60B8F"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2</w:t>
            </w:r>
          </w:p>
        </w:tc>
        <w:tc>
          <w:tcPr>
            <w:tcW w:w="1181" w:type="dxa"/>
          </w:tcPr>
          <w:p w14:paraId="72F60B90"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$24,000</w:t>
            </w:r>
          </w:p>
        </w:tc>
      </w:tr>
      <w:tr w:rsidR="00681D51" w:rsidRPr="007103F0" w14:paraId="72F60B96" w14:textId="77777777" w:rsidTr="00383839">
        <w:tc>
          <w:tcPr>
            <w:tcW w:w="2538" w:type="dxa"/>
          </w:tcPr>
          <w:p w14:paraId="72F60B92"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Load Balancer</w:t>
            </w:r>
          </w:p>
        </w:tc>
        <w:tc>
          <w:tcPr>
            <w:tcW w:w="4320" w:type="dxa"/>
          </w:tcPr>
          <w:p w14:paraId="72F60B93"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Barracuda 440 Load Balancer Appliance Web service load balancing for e-Services and GenTax.</w:t>
            </w:r>
          </w:p>
        </w:tc>
        <w:tc>
          <w:tcPr>
            <w:tcW w:w="990" w:type="dxa"/>
          </w:tcPr>
          <w:p w14:paraId="72F60B94"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4</w:t>
            </w:r>
          </w:p>
        </w:tc>
        <w:tc>
          <w:tcPr>
            <w:tcW w:w="1181" w:type="dxa"/>
          </w:tcPr>
          <w:p w14:paraId="72F60B95"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$20,000</w:t>
            </w:r>
          </w:p>
        </w:tc>
      </w:tr>
      <w:tr w:rsidR="00681D51" w:rsidRPr="007103F0" w14:paraId="72F60B9B" w14:textId="77777777" w:rsidTr="00383839">
        <w:tc>
          <w:tcPr>
            <w:tcW w:w="2538" w:type="dxa"/>
          </w:tcPr>
          <w:p w14:paraId="72F60B97"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Rack Enclosure</w:t>
            </w:r>
          </w:p>
        </w:tc>
        <w:tc>
          <w:tcPr>
            <w:tcW w:w="4320" w:type="dxa"/>
          </w:tcPr>
          <w:p w14:paraId="72F60B98" w14:textId="77777777" w:rsidR="00681D51" w:rsidRPr="007103F0" w:rsidRDefault="00681D51" w:rsidP="00681D51">
            <w:pPr>
              <w:widowControl w:val="0"/>
              <w:autoSpaceDE w:val="0"/>
              <w:autoSpaceDN w:val="0"/>
              <w:adjustRightInd w:val="0"/>
              <w:rPr>
                <w:rFonts w:cs="Arial"/>
                <w:sz w:val="18"/>
                <w:szCs w:val="18"/>
              </w:rPr>
            </w:pPr>
            <w:r w:rsidRPr="007103F0">
              <w:rPr>
                <w:rFonts w:cs="Arial"/>
                <w:sz w:val="18"/>
                <w:szCs w:val="18"/>
              </w:rPr>
              <w:t>Dell PowerEdge 4240 Rack Enclosure</w:t>
            </w:r>
          </w:p>
        </w:tc>
        <w:tc>
          <w:tcPr>
            <w:tcW w:w="990" w:type="dxa"/>
          </w:tcPr>
          <w:p w14:paraId="72F60B99" w14:textId="77777777" w:rsidR="00681D51" w:rsidRPr="007103F0" w:rsidRDefault="00681D51" w:rsidP="007338F2">
            <w:pPr>
              <w:widowControl w:val="0"/>
              <w:autoSpaceDE w:val="0"/>
              <w:autoSpaceDN w:val="0"/>
              <w:adjustRightInd w:val="0"/>
              <w:jc w:val="center"/>
              <w:rPr>
                <w:rFonts w:cs="Arial"/>
                <w:sz w:val="18"/>
                <w:szCs w:val="18"/>
              </w:rPr>
            </w:pPr>
            <w:r w:rsidRPr="007103F0">
              <w:rPr>
                <w:rFonts w:cs="Arial"/>
                <w:sz w:val="18"/>
                <w:szCs w:val="18"/>
              </w:rPr>
              <w:t>1</w:t>
            </w:r>
          </w:p>
        </w:tc>
        <w:tc>
          <w:tcPr>
            <w:tcW w:w="1181" w:type="dxa"/>
          </w:tcPr>
          <w:p w14:paraId="72F60B9A" w14:textId="77777777" w:rsidR="00681D51" w:rsidRPr="007103F0" w:rsidRDefault="00681D51" w:rsidP="007338F2">
            <w:pPr>
              <w:widowControl w:val="0"/>
              <w:autoSpaceDE w:val="0"/>
              <w:autoSpaceDN w:val="0"/>
              <w:adjustRightInd w:val="0"/>
              <w:jc w:val="right"/>
              <w:rPr>
                <w:rFonts w:cs="Arial"/>
                <w:sz w:val="18"/>
                <w:szCs w:val="18"/>
              </w:rPr>
            </w:pPr>
            <w:r w:rsidRPr="007103F0">
              <w:rPr>
                <w:rFonts w:cs="Arial"/>
                <w:sz w:val="18"/>
                <w:szCs w:val="18"/>
              </w:rPr>
              <w:t>$6,000</w:t>
            </w:r>
          </w:p>
        </w:tc>
      </w:tr>
      <w:tr w:rsidR="007338F2" w:rsidRPr="007103F0" w14:paraId="72F60BA0" w14:textId="77777777" w:rsidTr="00383839">
        <w:tc>
          <w:tcPr>
            <w:tcW w:w="2538" w:type="dxa"/>
          </w:tcPr>
          <w:p w14:paraId="72F60B9C" w14:textId="77777777" w:rsidR="007338F2" w:rsidRPr="007103F0" w:rsidRDefault="007338F2" w:rsidP="00681D51">
            <w:pPr>
              <w:widowControl w:val="0"/>
              <w:autoSpaceDE w:val="0"/>
              <w:autoSpaceDN w:val="0"/>
              <w:adjustRightInd w:val="0"/>
              <w:rPr>
                <w:rFonts w:cs="Arial"/>
                <w:sz w:val="18"/>
                <w:szCs w:val="18"/>
              </w:rPr>
            </w:pPr>
            <w:r w:rsidRPr="007103F0">
              <w:rPr>
                <w:rFonts w:cs="Arial"/>
                <w:sz w:val="18"/>
                <w:szCs w:val="18"/>
              </w:rPr>
              <w:t>Storage Area Network (SAN)</w:t>
            </w:r>
          </w:p>
        </w:tc>
        <w:tc>
          <w:tcPr>
            <w:tcW w:w="4320" w:type="dxa"/>
          </w:tcPr>
          <w:p w14:paraId="72F60B9D" w14:textId="77777777" w:rsidR="007338F2" w:rsidRPr="007103F0" w:rsidRDefault="007338F2" w:rsidP="00681D51">
            <w:pPr>
              <w:widowControl w:val="0"/>
              <w:autoSpaceDE w:val="0"/>
              <w:autoSpaceDN w:val="0"/>
              <w:adjustRightInd w:val="0"/>
              <w:rPr>
                <w:rFonts w:cs="Arial"/>
                <w:sz w:val="18"/>
                <w:szCs w:val="18"/>
              </w:rPr>
            </w:pPr>
            <w:r w:rsidRPr="007103F0">
              <w:rPr>
                <w:rFonts w:cs="Arial"/>
                <w:sz w:val="18"/>
                <w:szCs w:val="18"/>
              </w:rPr>
              <w:t>Storage (SAN) Quantity</w:t>
            </w:r>
          </w:p>
        </w:tc>
        <w:tc>
          <w:tcPr>
            <w:tcW w:w="990" w:type="dxa"/>
          </w:tcPr>
          <w:p w14:paraId="72F60B9E" w14:textId="77777777" w:rsidR="007338F2" w:rsidRPr="007103F0" w:rsidRDefault="007338F2" w:rsidP="007338F2">
            <w:pPr>
              <w:widowControl w:val="0"/>
              <w:autoSpaceDE w:val="0"/>
              <w:autoSpaceDN w:val="0"/>
              <w:adjustRightInd w:val="0"/>
              <w:jc w:val="center"/>
              <w:rPr>
                <w:rFonts w:cs="Arial"/>
                <w:sz w:val="18"/>
                <w:szCs w:val="18"/>
              </w:rPr>
            </w:pPr>
            <w:r w:rsidRPr="007103F0">
              <w:rPr>
                <w:rFonts w:cs="Arial"/>
                <w:sz w:val="18"/>
                <w:szCs w:val="18"/>
              </w:rPr>
              <w:t>1</w:t>
            </w:r>
          </w:p>
        </w:tc>
        <w:tc>
          <w:tcPr>
            <w:tcW w:w="1181" w:type="dxa"/>
          </w:tcPr>
          <w:p w14:paraId="72F60B9F" w14:textId="77777777" w:rsidR="007338F2" w:rsidRPr="007103F0" w:rsidRDefault="007338F2" w:rsidP="007338F2">
            <w:pPr>
              <w:widowControl w:val="0"/>
              <w:autoSpaceDE w:val="0"/>
              <w:autoSpaceDN w:val="0"/>
              <w:adjustRightInd w:val="0"/>
              <w:jc w:val="right"/>
              <w:rPr>
                <w:rFonts w:cs="Arial"/>
                <w:sz w:val="18"/>
                <w:szCs w:val="18"/>
              </w:rPr>
            </w:pPr>
            <w:r w:rsidRPr="007103F0">
              <w:rPr>
                <w:rFonts w:cs="Arial"/>
                <w:sz w:val="18"/>
                <w:szCs w:val="18"/>
              </w:rPr>
              <w:t>$80,500</w:t>
            </w:r>
          </w:p>
        </w:tc>
      </w:tr>
      <w:tr w:rsidR="00493235" w:rsidRPr="00383839" w14:paraId="72F60BA4" w14:textId="77777777" w:rsidTr="00383839">
        <w:trPr>
          <w:trHeight w:val="98"/>
        </w:trPr>
        <w:tc>
          <w:tcPr>
            <w:tcW w:w="6858" w:type="dxa"/>
            <w:gridSpan w:val="2"/>
          </w:tcPr>
          <w:p w14:paraId="72F60BA1" w14:textId="6EA94FAC" w:rsidR="00493235" w:rsidRPr="007103F0" w:rsidRDefault="00493235" w:rsidP="00383839">
            <w:pPr>
              <w:widowControl w:val="0"/>
              <w:autoSpaceDE w:val="0"/>
              <w:autoSpaceDN w:val="0"/>
              <w:adjustRightInd w:val="0"/>
              <w:rPr>
                <w:rFonts w:cs="Arial"/>
                <w:b/>
                <w:sz w:val="18"/>
                <w:szCs w:val="18"/>
              </w:rPr>
            </w:pPr>
            <w:r w:rsidRPr="007103F0">
              <w:rPr>
                <w:rFonts w:cs="Arial"/>
                <w:b/>
                <w:sz w:val="18"/>
                <w:szCs w:val="18"/>
              </w:rPr>
              <w:t>Total</w:t>
            </w:r>
          </w:p>
        </w:tc>
        <w:tc>
          <w:tcPr>
            <w:tcW w:w="990" w:type="dxa"/>
          </w:tcPr>
          <w:p w14:paraId="72F60BA2" w14:textId="706260CF" w:rsidR="00493235" w:rsidRPr="007103F0" w:rsidRDefault="00493235" w:rsidP="00383839">
            <w:pPr>
              <w:widowControl w:val="0"/>
              <w:autoSpaceDE w:val="0"/>
              <w:autoSpaceDN w:val="0"/>
              <w:adjustRightInd w:val="0"/>
              <w:rPr>
                <w:rFonts w:cs="Arial"/>
                <w:b/>
                <w:sz w:val="18"/>
                <w:szCs w:val="18"/>
              </w:rPr>
            </w:pPr>
          </w:p>
        </w:tc>
        <w:tc>
          <w:tcPr>
            <w:tcW w:w="1181" w:type="dxa"/>
          </w:tcPr>
          <w:p w14:paraId="72F60BA3" w14:textId="77777777" w:rsidR="00493235" w:rsidRPr="007103F0" w:rsidRDefault="00493235" w:rsidP="00383839">
            <w:pPr>
              <w:widowControl w:val="0"/>
              <w:autoSpaceDE w:val="0"/>
              <w:autoSpaceDN w:val="0"/>
              <w:adjustRightInd w:val="0"/>
              <w:jc w:val="right"/>
              <w:rPr>
                <w:rFonts w:cs="Arial"/>
                <w:b/>
                <w:sz w:val="18"/>
                <w:szCs w:val="18"/>
              </w:rPr>
            </w:pPr>
            <w:r w:rsidRPr="007103F0">
              <w:rPr>
                <w:rFonts w:cs="Arial"/>
                <w:b/>
                <w:sz w:val="18"/>
                <w:szCs w:val="18"/>
              </w:rPr>
              <w:fldChar w:fldCharType="begin"/>
            </w:r>
            <w:r w:rsidRPr="007103F0">
              <w:rPr>
                <w:rFonts w:cs="Arial"/>
                <w:b/>
                <w:sz w:val="18"/>
                <w:szCs w:val="18"/>
              </w:rPr>
              <w:instrText xml:space="preserve"> =SUM(ABOVE) \# "$#,##0" </w:instrText>
            </w:r>
            <w:r w:rsidRPr="007103F0">
              <w:rPr>
                <w:rFonts w:cs="Arial"/>
                <w:b/>
                <w:sz w:val="18"/>
                <w:szCs w:val="18"/>
              </w:rPr>
              <w:fldChar w:fldCharType="separate"/>
            </w:r>
            <w:r w:rsidR="0040500C" w:rsidRPr="007103F0">
              <w:rPr>
                <w:rFonts w:cs="Arial"/>
                <w:b/>
                <w:noProof/>
                <w:sz w:val="18"/>
                <w:szCs w:val="18"/>
              </w:rPr>
              <w:t>$</w:t>
            </w:r>
            <w:r w:rsidR="0040500C">
              <w:rPr>
                <w:rFonts w:cs="Arial"/>
                <w:b/>
                <w:noProof/>
                <w:sz w:val="18"/>
                <w:szCs w:val="18"/>
              </w:rPr>
              <w:t>353,500</w:t>
            </w:r>
            <w:r w:rsidRPr="007103F0">
              <w:rPr>
                <w:rFonts w:cs="Arial"/>
                <w:b/>
                <w:sz w:val="18"/>
                <w:szCs w:val="18"/>
              </w:rPr>
              <w:fldChar w:fldCharType="end"/>
            </w:r>
          </w:p>
        </w:tc>
      </w:tr>
    </w:tbl>
    <w:p w14:paraId="72F60BB2" w14:textId="77777777" w:rsidR="00474F9A" w:rsidRDefault="00200697" w:rsidP="00200697">
      <w:pPr>
        <w:pStyle w:val="Heading2"/>
      </w:pPr>
      <w:bookmarkStart w:id="19" w:name="_Toc377313538"/>
      <w:r>
        <w:t>Cost of Software</w:t>
      </w:r>
      <w:bookmarkEnd w:id="19"/>
    </w:p>
    <w:p w14:paraId="72F60BB3" w14:textId="62686762" w:rsidR="00474F9A" w:rsidRDefault="00CD0667" w:rsidP="00474F9A">
      <w:pPr>
        <w:pStyle w:val="BodyText"/>
      </w:pPr>
      <w:r>
        <w:t>The cost of FAST licenses, operating systems and supporting technology is list below.  These are anticipated to be one-time costs at the beginning of the project</w:t>
      </w:r>
      <w:r w:rsidR="00603CA2">
        <w:t xml:space="preserve"> (FY14)</w:t>
      </w:r>
      <w:r>
        <w:t>.</w:t>
      </w:r>
    </w:p>
    <w:p w14:paraId="5A8A950A" w14:textId="2CD8A724" w:rsidR="003D5F50" w:rsidRDefault="003D5F50" w:rsidP="00E7796B">
      <w:pPr>
        <w:pStyle w:val="Heading4"/>
      </w:pPr>
      <w:r>
        <w:t xml:space="preserve">Table </w:t>
      </w:r>
      <w:r w:rsidR="000220F0">
        <w:t>9</w:t>
      </w:r>
      <w:r>
        <w:t xml:space="preserve"> – </w:t>
      </w:r>
      <w:r w:rsidR="00E7796B">
        <w:t xml:space="preserve">FAST and Other Supporting Software </w:t>
      </w:r>
      <w:r>
        <w:t>Licens</w:t>
      </w:r>
      <w:r w:rsidR="00E7796B">
        <w:t>ing</w:t>
      </w:r>
      <w:r>
        <w:t xml:space="preserve"> Cost</w:t>
      </w:r>
    </w:p>
    <w:p w14:paraId="71BC5848" w14:textId="77777777" w:rsidR="003D5F50" w:rsidRPr="003D5F50" w:rsidRDefault="003D5F50" w:rsidP="003D5F50">
      <w:pPr>
        <w:pStyle w:val="BodyText"/>
      </w:pPr>
    </w:p>
    <w:tbl>
      <w:tblPr>
        <w:tblStyle w:val="TableGrid"/>
        <w:tblW w:w="9108" w:type="dxa"/>
        <w:tblLook w:val="00A0" w:firstRow="1" w:lastRow="0" w:firstColumn="1" w:lastColumn="0" w:noHBand="0" w:noVBand="0"/>
      </w:tblPr>
      <w:tblGrid>
        <w:gridCol w:w="6858"/>
        <w:gridCol w:w="2250"/>
      </w:tblGrid>
      <w:tr w:rsidR="00474F9A" w:rsidRPr="007103F0" w14:paraId="72F60BB6" w14:textId="77777777" w:rsidTr="00E7796B">
        <w:tc>
          <w:tcPr>
            <w:tcW w:w="6858" w:type="dxa"/>
            <w:shd w:val="clear" w:color="auto" w:fill="BFBFBF" w:themeFill="background1" w:themeFillShade="BF"/>
          </w:tcPr>
          <w:p w14:paraId="72F60BB4" w14:textId="77777777" w:rsidR="00474F9A" w:rsidRPr="007103F0" w:rsidRDefault="009429B9" w:rsidP="00336ADC">
            <w:pPr>
              <w:pStyle w:val="BodyText"/>
              <w:spacing w:after="0"/>
              <w:rPr>
                <w:b/>
                <w:sz w:val="18"/>
                <w:szCs w:val="18"/>
              </w:rPr>
            </w:pPr>
            <w:r w:rsidRPr="007103F0">
              <w:rPr>
                <w:b/>
                <w:sz w:val="18"/>
                <w:szCs w:val="18"/>
              </w:rPr>
              <w:t>Acquisition Description</w:t>
            </w:r>
          </w:p>
        </w:tc>
        <w:tc>
          <w:tcPr>
            <w:tcW w:w="2250" w:type="dxa"/>
            <w:shd w:val="clear" w:color="auto" w:fill="BFBFBF" w:themeFill="background1" w:themeFillShade="BF"/>
          </w:tcPr>
          <w:p w14:paraId="72F60BB5" w14:textId="77777777" w:rsidR="00474F9A" w:rsidRPr="007103F0" w:rsidRDefault="009429B9" w:rsidP="00493235">
            <w:pPr>
              <w:pStyle w:val="BodyText"/>
              <w:spacing w:after="0"/>
              <w:jc w:val="right"/>
              <w:rPr>
                <w:b/>
                <w:sz w:val="18"/>
                <w:szCs w:val="18"/>
              </w:rPr>
            </w:pPr>
            <w:r w:rsidRPr="007103F0">
              <w:rPr>
                <w:b/>
                <w:sz w:val="18"/>
                <w:szCs w:val="18"/>
              </w:rPr>
              <w:t>Cost</w:t>
            </w:r>
          </w:p>
        </w:tc>
      </w:tr>
      <w:tr w:rsidR="00474F9A" w:rsidRPr="007103F0" w14:paraId="72F60BB9" w14:textId="77777777" w:rsidTr="00E7796B">
        <w:tc>
          <w:tcPr>
            <w:tcW w:w="6858" w:type="dxa"/>
            <w:vAlign w:val="center"/>
          </w:tcPr>
          <w:p w14:paraId="72F60BB7" w14:textId="77777777" w:rsidR="00474F9A" w:rsidRPr="007103F0" w:rsidRDefault="00FC2ECD" w:rsidP="00493235">
            <w:pPr>
              <w:widowControl w:val="0"/>
              <w:autoSpaceDE w:val="0"/>
              <w:autoSpaceDN w:val="0"/>
              <w:adjustRightInd w:val="0"/>
              <w:rPr>
                <w:rFonts w:cs="Arial"/>
                <w:sz w:val="18"/>
                <w:szCs w:val="18"/>
              </w:rPr>
            </w:pPr>
            <w:r w:rsidRPr="007103F0">
              <w:rPr>
                <w:rFonts w:cs="Arial"/>
                <w:sz w:val="18"/>
                <w:szCs w:val="18"/>
              </w:rPr>
              <w:t>GenTax V9</w:t>
            </w:r>
          </w:p>
        </w:tc>
        <w:tc>
          <w:tcPr>
            <w:tcW w:w="2250" w:type="dxa"/>
            <w:vAlign w:val="center"/>
          </w:tcPr>
          <w:p w14:paraId="72F60BB8" w14:textId="77777777" w:rsidR="00474F9A" w:rsidRPr="007103F0" w:rsidRDefault="00FC2ECD" w:rsidP="00493235">
            <w:pPr>
              <w:widowControl w:val="0"/>
              <w:autoSpaceDE w:val="0"/>
              <w:autoSpaceDN w:val="0"/>
              <w:adjustRightInd w:val="0"/>
              <w:jc w:val="right"/>
              <w:rPr>
                <w:rFonts w:cs="Arial"/>
                <w:sz w:val="18"/>
                <w:szCs w:val="18"/>
              </w:rPr>
            </w:pPr>
            <w:r w:rsidRPr="007103F0">
              <w:rPr>
                <w:rFonts w:cs="Arial"/>
                <w:sz w:val="18"/>
                <w:szCs w:val="18"/>
              </w:rPr>
              <w:t>$4,200,000</w:t>
            </w:r>
          </w:p>
        </w:tc>
      </w:tr>
      <w:tr w:rsidR="00474F9A" w:rsidRPr="007103F0" w14:paraId="72F60BBC" w14:textId="77777777" w:rsidTr="00E7796B">
        <w:tc>
          <w:tcPr>
            <w:tcW w:w="6858" w:type="dxa"/>
            <w:vAlign w:val="center"/>
          </w:tcPr>
          <w:p w14:paraId="72F60BBA" w14:textId="77777777" w:rsidR="00474F9A" w:rsidRPr="007103F0" w:rsidRDefault="004C1E18" w:rsidP="00493235">
            <w:pPr>
              <w:widowControl w:val="0"/>
              <w:autoSpaceDE w:val="0"/>
              <w:autoSpaceDN w:val="0"/>
              <w:adjustRightInd w:val="0"/>
              <w:rPr>
                <w:rFonts w:cs="Arial"/>
                <w:sz w:val="18"/>
                <w:szCs w:val="18"/>
              </w:rPr>
            </w:pPr>
            <w:r w:rsidRPr="007103F0">
              <w:rPr>
                <w:rFonts w:cs="Arial"/>
                <w:sz w:val="18"/>
                <w:szCs w:val="18"/>
              </w:rPr>
              <w:t>Operating System and Web Services</w:t>
            </w:r>
            <w:r w:rsidR="00FC2ECD" w:rsidRPr="007103F0">
              <w:rPr>
                <w:rFonts w:cs="Arial"/>
                <w:sz w:val="18"/>
                <w:szCs w:val="18"/>
              </w:rPr>
              <w:t xml:space="preserve"> Software Licenses</w:t>
            </w:r>
          </w:p>
        </w:tc>
        <w:tc>
          <w:tcPr>
            <w:tcW w:w="2250" w:type="dxa"/>
            <w:vAlign w:val="center"/>
          </w:tcPr>
          <w:p w14:paraId="72F60BBB" w14:textId="77777777" w:rsidR="00474F9A" w:rsidRPr="007103F0" w:rsidRDefault="00FC2ECD" w:rsidP="00493235">
            <w:pPr>
              <w:widowControl w:val="0"/>
              <w:autoSpaceDE w:val="0"/>
              <w:autoSpaceDN w:val="0"/>
              <w:adjustRightInd w:val="0"/>
              <w:jc w:val="right"/>
              <w:rPr>
                <w:rFonts w:cs="Arial"/>
                <w:sz w:val="18"/>
                <w:szCs w:val="18"/>
              </w:rPr>
            </w:pPr>
            <w:r w:rsidRPr="007103F0">
              <w:rPr>
                <w:rFonts w:cs="Arial"/>
                <w:sz w:val="18"/>
                <w:szCs w:val="18"/>
              </w:rPr>
              <w:t>$67,400</w:t>
            </w:r>
          </w:p>
        </w:tc>
      </w:tr>
      <w:tr w:rsidR="00474F9A" w:rsidRPr="007103F0" w14:paraId="72F60BBF" w14:textId="77777777" w:rsidTr="00E7796B">
        <w:tc>
          <w:tcPr>
            <w:tcW w:w="6858" w:type="dxa"/>
            <w:vAlign w:val="center"/>
          </w:tcPr>
          <w:p w14:paraId="72F60BBD" w14:textId="77777777" w:rsidR="00474F9A" w:rsidRPr="007103F0" w:rsidRDefault="00FC2ECD" w:rsidP="00493235">
            <w:pPr>
              <w:widowControl w:val="0"/>
              <w:autoSpaceDE w:val="0"/>
              <w:autoSpaceDN w:val="0"/>
              <w:adjustRightInd w:val="0"/>
              <w:rPr>
                <w:rFonts w:cs="Arial"/>
                <w:sz w:val="18"/>
                <w:szCs w:val="18"/>
              </w:rPr>
            </w:pPr>
            <w:r w:rsidRPr="007103F0">
              <w:rPr>
                <w:rFonts w:cs="Arial"/>
                <w:sz w:val="18"/>
                <w:szCs w:val="18"/>
              </w:rPr>
              <w:t>SQL Server</w:t>
            </w:r>
          </w:p>
        </w:tc>
        <w:tc>
          <w:tcPr>
            <w:tcW w:w="2250" w:type="dxa"/>
            <w:vAlign w:val="center"/>
          </w:tcPr>
          <w:p w14:paraId="72F60BBE" w14:textId="77777777" w:rsidR="00474F9A" w:rsidRPr="007103F0" w:rsidRDefault="00FC2ECD" w:rsidP="00493235">
            <w:pPr>
              <w:widowControl w:val="0"/>
              <w:autoSpaceDE w:val="0"/>
              <w:autoSpaceDN w:val="0"/>
              <w:adjustRightInd w:val="0"/>
              <w:jc w:val="right"/>
              <w:rPr>
                <w:rFonts w:cs="Arial"/>
                <w:sz w:val="18"/>
                <w:szCs w:val="18"/>
              </w:rPr>
            </w:pPr>
            <w:r w:rsidRPr="007103F0">
              <w:rPr>
                <w:rFonts w:cs="Arial"/>
                <w:sz w:val="18"/>
                <w:szCs w:val="18"/>
              </w:rPr>
              <w:t>$152,500</w:t>
            </w:r>
          </w:p>
        </w:tc>
      </w:tr>
      <w:tr w:rsidR="00474F9A" w:rsidRPr="007103F0" w14:paraId="72F60BC2" w14:textId="77777777" w:rsidTr="00E7796B">
        <w:tc>
          <w:tcPr>
            <w:tcW w:w="6858" w:type="dxa"/>
            <w:vAlign w:val="center"/>
          </w:tcPr>
          <w:p w14:paraId="72F60BC0" w14:textId="77777777" w:rsidR="00474F9A" w:rsidRPr="007103F0" w:rsidRDefault="00FC2ECD" w:rsidP="00493235">
            <w:pPr>
              <w:widowControl w:val="0"/>
              <w:autoSpaceDE w:val="0"/>
              <w:autoSpaceDN w:val="0"/>
              <w:adjustRightInd w:val="0"/>
              <w:rPr>
                <w:rFonts w:cs="Arial"/>
                <w:sz w:val="18"/>
                <w:szCs w:val="18"/>
              </w:rPr>
            </w:pPr>
            <w:r w:rsidRPr="007103F0">
              <w:rPr>
                <w:rFonts w:cs="Arial"/>
                <w:sz w:val="18"/>
                <w:szCs w:val="18"/>
              </w:rPr>
              <w:t>VMWare</w:t>
            </w:r>
          </w:p>
        </w:tc>
        <w:tc>
          <w:tcPr>
            <w:tcW w:w="2250" w:type="dxa"/>
            <w:vAlign w:val="center"/>
          </w:tcPr>
          <w:p w14:paraId="72F60BC1" w14:textId="77777777" w:rsidR="00474F9A" w:rsidRPr="007103F0" w:rsidRDefault="00FC2ECD" w:rsidP="00493235">
            <w:pPr>
              <w:widowControl w:val="0"/>
              <w:autoSpaceDE w:val="0"/>
              <w:autoSpaceDN w:val="0"/>
              <w:adjustRightInd w:val="0"/>
              <w:jc w:val="right"/>
              <w:rPr>
                <w:rFonts w:cs="Arial"/>
                <w:sz w:val="18"/>
                <w:szCs w:val="18"/>
              </w:rPr>
            </w:pPr>
            <w:r w:rsidRPr="007103F0">
              <w:rPr>
                <w:rFonts w:cs="Arial"/>
                <w:sz w:val="18"/>
                <w:szCs w:val="18"/>
              </w:rPr>
              <w:t>$55,200</w:t>
            </w:r>
          </w:p>
        </w:tc>
      </w:tr>
      <w:tr w:rsidR="00474F9A" w:rsidRPr="007103F0" w14:paraId="72F60BC5" w14:textId="77777777" w:rsidTr="00E7796B">
        <w:tc>
          <w:tcPr>
            <w:tcW w:w="6858" w:type="dxa"/>
            <w:vAlign w:val="center"/>
          </w:tcPr>
          <w:p w14:paraId="72F60BC3" w14:textId="6ED5E5E7" w:rsidR="00474F9A" w:rsidRPr="007103F0" w:rsidRDefault="00FC2ECD" w:rsidP="00493235">
            <w:pPr>
              <w:widowControl w:val="0"/>
              <w:autoSpaceDE w:val="0"/>
              <w:autoSpaceDN w:val="0"/>
              <w:adjustRightInd w:val="0"/>
              <w:rPr>
                <w:rFonts w:cs="Arial"/>
                <w:sz w:val="18"/>
                <w:szCs w:val="18"/>
              </w:rPr>
            </w:pPr>
            <w:r w:rsidRPr="007103F0">
              <w:rPr>
                <w:rFonts w:cs="Arial"/>
                <w:sz w:val="18"/>
                <w:szCs w:val="18"/>
              </w:rPr>
              <w:t>Adobe Captivate</w:t>
            </w:r>
            <w:r w:rsidR="003D5F50">
              <w:rPr>
                <w:rFonts w:cs="Arial"/>
                <w:sz w:val="18"/>
                <w:szCs w:val="18"/>
              </w:rPr>
              <w:t xml:space="preserve"> </w:t>
            </w:r>
            <w:r w:rsidRPr="007103F0">
              <w:rPr>
                <w:rFonts w:cs="Arial"/>
                <w:sz w:val="18"/>
                <w:szCs w:val="18"/>
              </w:rPr>
              <w:t>/</w:t>
            </w:r>
            <w:r w:rsidR="003D5F50">
              <w:rPr>
                <w:rFonts w:cs="Arial"/>
                <w:sz w:val="18"/>
                <w:szCs w:val="18"/>
              </w:rPr>
              <w:t xml:space="preserve"> </w:t>
            </w:r>
            <w:r w:rsidRPr="007103F0">
              <w:rPr>
                <w:rFonts w:cs="Arial"/>
                <w:sz w:val="18"/>
                <w:szCs w:val="18"/>
              </w:rPr>
              <w:t>RedGate ANTS</w:t>
            </w:r>
          </w:p>
        </w:tc>
        <w:tc>
          <w:tcPr>
            <w:tcW w:w="2250" w:type="dxa"/>
            <w:vAlign w:val="center"/>
          </w:tcPr>
          <w:p w14:paraId="72F60BC4" w14:textId="77777777" w:rsidR="00474F9A" w:rsidRPr="007103F0" w:rsidRDefault="00FC2ECD" w:rsidP="00493235">
            <w:pPr>
              <w:widowControl w:val="0"/>
              <w:autoSpaceDE w:val="0"/>
              <w:autoSpaceDN w:val="0"/>
              <w:adjustRightInd w:val="0"/>
              <w:jc w:val="right"/>
              <w:rPr>
                <w:rFonts w:cs="Arial"/>
                <w:sz w:val="18"/>
                <w:szCs w:val="18"/>
              </w:rPr>
            </w:pPr>
            <w:r w:rsidRPr="007103F0">
              <w:rPr>
                <w:rFonts w:cs="Arial"/>
                <w:sz w:val="18"/>
                <w:szCs w:val="18"/>
              </w:rPr>
              <w:t>$2,250</w:t>
            </w:r>
          </w:p>
        </w:tc>
      </w:tr>
      <w:tr w:rsidR="00474F9A" w:rsidRPr="00493235" w14:paraId="72F60BC8" w14:textId="77777777" w:rsidTr="00E7796B">
        <w:tc>
          <w:tcPr>
            <w:tcW w:w="6858" w:type="dxa"/>
            <w:vAlign w:val="center"/>
          </w:tcPr>
          <w:p w14:paraId="72F60BC6" w14:textId="77777777" w:rsidR="00474F9A" w:rsidRPr="007103F0" w:rsidRDefault="00FC2ECD" w:rsidP="00493235">
            <w:pPr>
              <w:widowControl w:val="0"/>
              <w:autoSpaceDE w:val="0"/>
              <w:autoSpaceDN w:val="0"/>
              <w:adjustRightInd w:val="0"/>
              <w:rPr>
                <w:rFonts w:cs="Arial"/>
                <w:b/>
                <w:sz w:val="18"/>
                <w:szCs w:val="18"/>
              </w:rPr>
            </w:pPr>
            <w:r w:rsidRPr="007103F0">
              <w:rPr>
                <w:rFonts w:cs="Arial"/>
                <w:b/>
                <w:sz w:val="18"/>
                <w:szCs w:val="18"/>
              </w:rPr>
              <w:t>Total</w:t>
            </w:r>
          </w:p>
        </w:tc>
        <w:tc>
          <w:tcPr>
            <w:tcW w:w="2250" w:type="dxa"/>
            <w:vAlign w:val="center"/>
          </w:tcPr>
          <w:p w14:paraId="72F60BC7" w14:textId="77777777" w:rsidR="00474F9A" w:rsidRPr="007103F0" w:rsidRDefault="00D54BC2" w:rsidP="00493235">
            <w:pPr>
              <w:widowControl w:val="0"/>
              <w:autoSpaceDE w:val="0"/>
              <w:autoSpaceDN w:val="0"/>
              <w:adjustRightInd w:val="0"/>
              <w:jc w:val="right"/>
              <w:rPr>
                <w:rFonts w:cs="Arial"/>
                <w:b/>
                <w:sz w:val="18"/>
                <w:szCs w:val="18"/>
              </w:rPr>
            </w:pPr>
            <w:r w:rsidRPr="007103F0">
              <w:rPr>
                <w:rFonts w:cs="Arial"/>
                <w:b/>
                <w:sz w:val="18"/>
                <w:szCs w:val="18"/>
              </w:rPr>
              <w:fldChar w:fldCharType="begin"/>
            </w:r>
            <w:r w:rsidRPr="007103F0">
              <w:rPr>
                <w:rFonts w:cs="Arial"/>
                <w:b/>
                <w:sz w:val="18"/>
                <w:szCs w:val="18"/>
              </w:rPr>
              <w:instrText xml:space="preserve"> =SUM(ABOVE) \# "$#,##0" </w:instrText>
            </w:r>
            <w:r w:rsidRPr="007103F0">
              <w:rPr>
                <w:rFonts w:cs="Arial"/>
                <w:b/>
                <w:sz w:val="18"/>
                <w:szCs w:val="18"/>
              </w:rPr>
              <w:fldChar w:fldCharType="separate"/>
            </w:r>
            <w:r w:rsidR="0040500C" w:rsidRPr="007103F0">
              <w:rPr>
                <w:rFonts w:cs="Arial"/>
                <w:b/>
                <w:noProof/>
                <w:sz w:val="18"/>
                <w:szCs w:val="18"/>
              </w:rPr>
              <w:t>$</w:t>
            </w:r>
            <w:r w:rsidR="0040500C">
              <w:rPr>
                <w:rFonts w:cs="Arial"/>
                <w:b/>
                <w:noProof/>
                <w:sz w:val="18"/>
                <w:szCs w:val="18"/>
              </w:rPr>
              <w:t>4,477,350</w:t>
            </w:r>
            <w:r w:rsidRPr="007103F0">
              <w:rPr>
                <w:rFonts w:cs="Arial"/>
                <w:b/>
                <w:sz w:val="18"/>
                <w:szCs w:val="18"/>
              </w:rPr>
              <w:fldChar w:fldCharType="end"/>
            </w:r>
          </w:p>
        </w:tc>
      </w:tr>
    </w:tbl>
    <w:p w14:paraId="72F60BC9" w14:textId="0B5097D2" w:rsidR="00FC2ECD" w:rsidRDefault="00FC2ECD" w:rsidP="00474F9A">
      <w:pPr>
        <w:pStyle w:val="BodyText"/>
      </w:pPr>
    </w:p>
    <w:p w14:paraId="6193A895" w14:textId="77777777" w:rsidR="003D5F50" w:rsidRDefault="00CD0667" w:rsidP="00D85F54">
      <w:pPr>
        <w:pStyle w:val="BodyText"/>
      </w:pPr>
      <w:r>
        <w:t>The</w:t>
      </w:r>
      <w:r w:rsidR="004C1E18">
        <w:t xml:space="preserve"> FAST</w:t>
      </w:r>
      <w:r>
        <w:t xml:space="preserve"> maintenance and support costs are listed by year in the table below</w:t>
      </w:r>
      <w:r w:rsidR="00FC2ECD">
        <w:t>.</w:t>
      </w:r>
    </w:p>
    <w:p w14:paraId="0C16CE5F" w14:textId="646E3BF4" w:rsidR="003D5F50" w:rsidRDefault="003D5F50" w:rsidP="003D5F50">
      <w:pPr>
        <w:pStyle w:val="Heading4"/>
      </w:pPr>
      <w:r>
        <w:t xml:space="preserve">Table </w:t>
      </w:r>
      <w:r w:rsidR="000220F0">
        <w:t>10</w:t>
      </w:r>
      <w:r>
        <w:t xml:space="preserve"> – FAST Maintenance and Support Cost</w:t>
      </w:r>
    </w:p>
    <w:p w14:paraId="1D0B1C23" w14:textId="77777777" w:rsidR="00E7796B" w:rsidRPr="00E7796B" w:rsidRDefault="00E7796B" w:rsidP="00E7796B">
      <w:pPr>
        <w:pStyle w:val="BodyText"/>
      </w:pPr>
    </w:p>
    <w:tbl>
      <w:tblPr>
        <w:tblStyle w:val="TableGrid"/>
        <w:tblW w:w="9108" w:type="dxa"/>
        <w:tblLook w:val="00A0" w:firstRow="1" w:lastRow="0" w:firstColumn="1" w:lastColumn="0" w:noHBand="0" w:noVBand="0"/>
      </w:tblPr>
      <w:tblGrid>
        <w:gridCol w:w="7038"/>
        <w:gridCol w:w="2070"/>
      </w:tblGrid>
      <w:tr w:rsidR="009429B9" w:rsidRPr="003D5F50" w14:paraId="72F60BCD" w14:textId="77777777" w:rsidTr="00493235">
        <w:trPr>
          <w:trHeight w:val="107"/>
        </w:trPr>
        <w:tc>
          <w:tcPr>
            <w:tcW w:w="7038" w:type="dxa"/>
            <w:shd w:val="clear" w:color="auto" w:fill="BFBFBF" w:themeFill="background1" w:themeFillShade="BF"/>
            <w:vAlign w:val="center"/>
          </w:tcPr>
          <w:p w14:paraId="72F60BCB" w14:textId="35AB1AD5" w:rsidR="009429B9" w:rsidRPr="003D5F50" w:rsidRDefault="003D5F50" w:rsidP="00380CEB">
            <w:pPr>
              <w:pStyle w:val="BodyText"/>
              <w:spacing w:after="0"/>
              <w:rPr>
                <w:b/>
                <w:sz w:val="18"/>
                <w:szCs w:val="18"/>
              </w:rPr>
            </w:pPr>
            <w:r w:rsidRPr="003D5F50">
              <w:rPr>
                <w:b/>
                <w:sz w:val="18"/>
                <w:szCs w:val="18"/>
              </w:rPr>
              <w:t>Time Period</w:t>
            </w:r>
          </w:p>
        </w:tc>
        <w:tc>
          <w:tcPr>
            <w:tcW w:w="2070" w:type="dxa"/>
            <w:shd w:val="clear" w:color="auto" w:fill="BFBFBF" w:themeFill="background1" w:themeFillShade="BF"/>
            <w:vAlign w:val="center"/>
          </w:tcPr>
          <w:p w14:paraId="72F60BCC" w14:textId="77777777" w:rsidR="009429B9" w:rsidRPr="003D5F50" w:rsidRDefault="009429B9" w:rsidP="00493235">
            <w:pPr>
              <w:pStyle w:val="BodyText"/>
              <w:spacing w:after="0"/>
              <w:jc w:val="right"/>
              <w:rPr>
                <w:b/>
                <w:sz w:val="18"/>
                <w:szCs w:val="18"/>
              </w:rPr>
            </w:pPr>
            <w:r w:rsidRPr="003D5F50">
              <w:rPr>
                <w:b/>
                <w:sz w:val="18"/>
                <w:szCs w:val="18"/>
              </w:rPr>
              <w:t>Cost</w:t>
            </w:r>
          </w:p>
        </w:tc>
      </w:tr>
      <w:tr w:rsidR="009429B9" w:rsidRPr="003D5F50" w14:paraId="72F60BD0" w14:textId="77777777" w:rsidTr="00493235">
        <w:tc>
          <w:tcPr>
            <w:tcW w:w="7038" w:type="dxa"/>
            <w:vAlign w:val="center"/>
          </w:tcPr>
          <w:p w14:paraId="72F60BCE" w14:textId="44058725" w:rsidR="009429B9" w:rsidRPr="003D5F50" w:rsidRDefault="009429B9" w:rsidP="00493235">
            <w:pPr>
              <w:widowControl w:val="0"/>
              <w:autoSpaceDE w:val="0"/>
              <w:autoSpaceDN w:val="0"/>
              <w:adjustRightInd w:val="0"/>
              <w:rPr>
                <w:rFonts w:cs="Arial"/>
                <w:sz w:val="18"/>
                <w:szCs w:val="18"/>
              </w:rPr>
            </w:pPr>
            <w:r w:rsidRPr="003D5F50">
              <w:rPr>
                <w:rFonts w:cs="Arial"/>
                <w:sz w:val="18"/>
                <w:szCs w:val="18"/>
              </w:rPr>
              <w:t xml:space="preserve">Year 1 </w:t>
            </w:r>
            <w:r w:rsidR="00603CA2">
              <w:rPr>
                <w:rFonts w:cs="Arial"/>
                <w:sz w:val="18"/>
                <w:szCs w:val="18"/>
              </w:rPr>
              <w:t xml:space="preserve">(FY14) </w:t>
            </w:r>
            <w:r w:rsidRPr="003D5F50">
              <w:rPr>
                <w:rFonts w:cs="Arial"/>
                <w:sz w:val="18"/>
                <w:szCs w:val="18"/>
              </w:rPr>
              <w:t>Maintenance and Support</w:t>
            </w:r>
          </w:p>
        </w:tc>
        <w:tc>
          <w:tcPr>
            <w:tcW w:w="2070" w:type="dxa"/>
            <w:vAlign w:val="center"/>
          </w:tcPr>
          <w:p w14:paraId="72F60BCF" w14:textId="77777777" w:rsidR="009429B9"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$250,000</w:t>
            </w:r>
          </w:p>
        </w:tc>
      </w:tr>
      <w:tr w:rsidR="009429B9" w:rsidRPr="003D5F50" w14:paraId="72F60BD3" w14:textId="77777777" w:rsidTr="00493235">
        <w:tc>
          <w:tcPr>
            <w:tcW w:w="7038" w:type="dxa"/>
            <w:vAlign w:val="center"/>
          </w:tcPr>
          <w:p w14:paraId="72F60BD1" w14:textId="231E717B" w:rsidR="009429B9" w:rsidRPr="003D5F50" w:rsidRDefault="009429B9" w:rsidP="00493235">
            <w:pPr>
              <w:widowControl w:val="0"/>
              <w:autoSpaceDE w:val="0"/>
              <w:autoSpaceDN w:val="0"/>
              <w:adjustRightInd w:val="0"/>
              <w:rPr>
                <w:rFonts w:cs="Arial"/>
                <w:sz w:val="18"/>
                <w:szCs w:val="18"/>
              </w:rPr>
            </w:pPr>
            <w:r w:rsidRPr="003D5F50">
              <w:rPr>
                <w:rFonts w:cs="Arial"/>
                <w:sz w:val="18"/>
                <w:szCs w:val="18"/>
              </w:rPr>
              <w:t xml:space="preserve">Year 2 </w:t>
            </w:r>
            <w:r w:rsidR="00603CA2">
              <w:rPr>
                <w:rFonts w:cs="Arial"/>
                <w:sz w:val="18"/>
                <w:szCs w:val="18"/>
              </w:rPr>
              <w:t xml:space="preserve">(FY15) </w:t>
            </w:r>
            <w:r w:rsidRPr="003D5F50">
              <w:rPr>
                <w:rFonts w:cs="Arial"/>
                <w:sz w:val="18"/>
                <w:szCs w:val="18"/>
              </w:rPr>
              <w:t>Maintenance and Support</w:t>
            </w:r>
          </w:p>
        </w:tc>
        <w:tc>
          <w:tcPr>
            <w:tcW w:w="2070" w:type="dxa"/>
            <w:vAlign w:val="center"/>
          </w:tcPr>
          <w:p w14:paraId="72F60BD2" w14:textId="77777777" w:rsidR="009429B9"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$500,000</w:t>
            </w:r>
          </w:p>
        </w:tc>
      </w:tr>
      <w:tr w:rsidR="009429B9" w:rsidRPr="003D5F50" w14:paraId="72F60BD6" w14:textId="77777777" w:rsidTr="00493235">
        <w:tc>
          <w:tcPr>
            <w:tcW w:w="7038" w:type="dxa"/>
            <w:vAlign w:val="center"/>
          </w:tcPr>
          <w:p w14:paraId="72F60BD4" w14:textId="61F449C2" w:rsidR="009429B9" w:rsidRPr="003D5F50" w:rsidRDefault="009429B9" w:rsidP="00493235">
            <w:pPr>
              <w:widowControl w:val="0"/>
              <w:autoSpaceDE w:val="0"/>
              <w:autoSpaceDN w:val="0"/>
              <w:adjustRightInd w:val="0"/>
              <w:rPr>
                <w:rFonts w:cs="Arial"/>
                <w:sz w:val="18"/>
                <w:szCs w:val="18"/>
              </w:rPr>
            </w:pPr>
            <w:r w:rsidRPr="003D5F50">
              <w:rPr>
                <w:rFonts w:cs="Arial"/>
                <w:sz w:val="18"/>
                <w:szCs w:val="18"/>
              </w:rPr>
              <w:t xml:space="preserve">Year 3 </w:t>
            </w:r>
            <w:r w:rsidR="00603CA2">
              <w:rPr>
                <w:rFonts w:cs="Arial"/>
                <w:sz w:val="18"/>
                <w:szCs w:val="18"/>
              </w:rPr>
              <w:t xml:space="preserve">(FY16) </w:t>
            </w:r>
            <w:r w:rsidRPr="003D5F50">
              <w:rPr>
                <w:rFonts w:cs="Arial"/>
                <w:sz w:val="18"/>
                <w:szCs w:val="18"/>
              </w:rPr>
              <w:t>Maintenance and Support</w:t>
            </w:r>
          </w:p>
        </w:tc>
        <w:tc>
          <w:tcPr>
            <w:tcW w:w="2070" w:type="dxa"/>
            <w:vAlign w:val="center"/>
          </w:tcPr>
          <w:p w14:paraId="72F60BD5" w14:textId="77777777" w:rsidR="009429B9"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$750,000</w:t>
            </w:r>
          </w:p>
        </w:tc>
      </w:tr>
      <w:tr w:rsidR="009429B9" w:rsidRPr="003D5F50" w14:paraId="72F60BD9" w14:textId="77777777" w:rsidTr="00493235">
        <w:tc>
          <w:tcPr>
            <w:tcW w:w="7038" w:type="dxa"/>
            <w:vAlign w:val="center"/>
          </w:tcPr>
          <w:p w14:paraId="72F60BD7" w14:textId="73BE7BA7" w:rsidR="009429B9" w:rsidRPr="003D5F50" w:rsidRDefault="009429B9" w:rsidP="00493235">
            <w:pPr>
              <w:widowControl w:val="0"/>
              <w:autoSpaceDE w:val="0"/>
              <w:autoSpaceDN w:val="0"/>
              <w:adjustRightInd w:val="0"/>
              <w:rPr>
                <w:rFonts w:cs="Arial"/>
                <w:sz w:val="18"/>
                <w:szCs w:val="18"/>
              </w:rPr>
            </w:pPr>
            <w:r w:rsidRPr="003D5F50">
              <w:rPr>
                <w:rFonts w:cs="Arial"/>
                <w:sz w:val="18"/>
                <w:szCs w:val="18"/>
              </w:rPr>
              <w:t xml:space="preserve">Year 4 </w:t>
            </w:r>
            <w:r w:rsidR="00603CA2">
              <w:rPr>
                <w:rFonts w:cs="Arial"/>
                <w:sz w:val="18"/>
                <w:szCs w:val="18"/>
              </w:rPr>
              <w:t xml:space="preserve">(FY17) </w:t>
            </w:r>
            <w:r w:rsidRPr="003D5F50">
              <w:rPr>
                <w:rFonts w:cs="Arial"/>
                <w:sz w:val="18"/>
                <w:szCs w:val="18"/>
              </w:rPr>
              <w:t>Maintenance and Support</w:t>
            </w:r>
          </w:p>
        </w:tc>
        <w:tc>
          <w:tcPr>
            <w:tcW w:w="2070" w:type="dxa"/>
            <w:vAlign w:val="center"/>
          </w:tcPr>
          <w:p w14:paraId="72F60BD8" w14:textId="77777777" w:rsidR="009429B9"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$1,000,000</w:t>
            </w:r>
          </w:p>
        </w:tc>
      </w:tr>
      <w:tr w:rsidR="009429B9" w:rsidRPr="003D5F50" w14:paraId="72F60BDC" w14:textId="77777777" w:rsidTr="00493235">
        <w:tc>
          <w:tcPr>
            <w:tcW w:w="7038" w:type="dxa"/>
            <w:vAlign w:val="center"/>
          </w:tcPr>
          <w:p w14:paraId="72F60BDA" w14:textId="6D9AB040" w:rsidR="009429B9" w:rsidRPr="003D5F50" w:rsidRDefault="009429B9" w:rsidP="00493235">
            <w:pPr>
              <w:widowControl w:val="0"/>
              <w:autoSpaceDE w:val="0"/>
              <w:autoSpaceDN w:val="0"/>
              <w:adjustRightInd w:val="0"/>
              <w:rPr>
                <w:rFonts w:cs="Arial"/>
                <w:sz w:val="18"/>
                <w:szCs w:val="18"/>
              </w:rPr>
            </w:pPr>
            <w:r w:rsidRPr="003D5F50">
              <w:rPr>
                <w:rFonts w:cs="Arial"/>
                <w:sz w:val="18"/>
                <w:szCs w:val="18"/>
              </w:rPr>
              <w:t xml:space="preserve">Year 5 </w:t>
            </w:r>
            <w:r w:rsidR="00603CA2">
              <w:rPr>
                <w:rFonts w:cs="Arial"/>
                <w:sz w:val="18"/>
                <w:szCs w:val="18"/>
              </w:rPr>
              <w:t xml:space="preserve">(FY18) </w:t>
            </w:r>
            <w:r w:rsidRPr="003D5F50">
              <w:rPr>
                <w:rFonts w:cs="Arial"/>
                <w:sz w:val="18"/>
                <w:szCs w:val="18"/>
              </w:rPr>
              <w:t>Maintenance and Support</w:t>
            </w:r>
          </w:p>
        </w:tc>
        <w:tc>
          <w:tcPr>
            <w:tcW w:w="2070" w:type="dxa"/>
            <w:vAlign w:val="center"/>
          </w:tcPr>
          <w:p w14:paraId="72F60BDB" w14:textId="77777777" w:rsidR="009429B9"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$1,200,000</w:t>
            </w:r>
          </w:p>
        </w:tc>
      </w:tr>
      <w:tr w:rsidR="009429B9" w:rsidRPr="003D5F50" w14:paraId="72F60BDF" w14:textId="77777777" w:rsidTr="00493235">
        <w:trPr>
          <w:trHeight w:val="143"/>
        </w:trPr>
        <w:tc>
          <w:tcPr>
            <w:tcW w:w="7038" w:type="dxa"/>
            <w:vAlign w:val="center"/>
          </w:tcPr>
          <w:p w14:paraId="72F60BDD" w14:textId="6C107ED2" w:rsidR="009429B9" w:rsidRPr="003D5F50" w:rsidRDefault="00010C1B" w:rsidP="00383839">
            <w:pPr>
              <w:widowControl w:val="0"/>
              <w:autoSpaceDE w:val="0"/>
              <w:autoSpaceDN w:val="0"/>
              <w:adjustRightInd w:val="0"/>
              <w:ind w:firstLine="360"/>
              <w:rPr>
                <w:rFonts w:cs="Arial"/>
                <w:b/>
                <w:sz w:val="18"/>
                <w:szCs w:val="18"/>
              </w:rPr>
            </w:pPr>
            <w:r w:rsidRPr="003D5F50">
              <w:rPr>
                <w:rFonts w:cs="Arial"/>
                <w:b/>
                <w:sz w:val="18"/>
                <w:szCs w:val="18"/>
              </w:rPr>
              <w:t xml:space="preserve">Year 1-5 </w:t>
            </w:r>
            <w:r w:rsidR="00323A9E" w:rsidRPr="003D5F50">
              <w:rPr>
                <w:rFonts w:cs="Arial"/>
                <w:b/>
                <w:sz w:val="18"/>
                <w:szCs w:val="18"/>
              </w:rPr>
              <w:t>Total</w:t>
            </w:r>
          </w:p>
        </w:tc>
        <w:tc>
          <w:tcPr>
            <w:tcW w:w="2070" w:type="dxa"/>
            <w:vAlign w:val="center"/>
          </w:tcPr>
          <w:p w14:paraId="72F60BDE" w14:textId="77777777" w:rsidR="009429B9" w:rsidRPr="003D5F50" w:rsidRDefault="00D54BC2" w:rsidP="00493235">
            <w:pPr>
              <w:widowControl w:val="0"/>
              <w:autoSpaceDE w:val="0"/>
              <w:autoSpaceDN w:val="0"/>
              <w:adjustRightInd w:val="0"/>
              <w:jc w:val="right"/>
              <w:rPr>
                <w:rFonts w:cs="Arial"/>
                <w:b/>
                <w:sz w:val="18"/>
                <w:szCs w:val="18"/>
              </w:rPr>
            </w:pPr>
            <w:r w:rsidRPr="003D5F50">
              <w:rPr>
                <w:rFonts w:cs="Arial"/>
                <w:b/>
                <w:sz w:val="18"/>
                <w:szCs w:val="18"/>
              </w:rPr>
              <w:fldChar w:fldCharType="begin"/>
            </w:r>
            <w:r w:rsidRPr="003D5F50">
              <w:rPr>
                <w:rFonts w:cs="Arial"/>
                <w:b/>
                <w:sz w:val="18"/>
                <w:szCs w:val="18"/>
              </w:rPr>
              <w:instrText xml:space="preserve"> =SUM(ABOVE) \# "$#,##0" </w:instrText>
            </w:r>
            <w:r w:rsidRPr="003D5F50">
              <w:rPr>
                <w:rFonts w:cs="Arial"/>
                <w:b/>
                <w:sz w:val="18"/>
                <w:szCs w:val="18"/>
              </w:rPr>
              <w:fldChar w:fldCharType="separate"/>
            </w:r>
            <w:r w:rsidR="0040500C" w:rsidRPr="003D5F50">
              <w:rPr>
                <w:rFonts w:cs="Arial"/>
                <w:b/>
                <w:noProof/>
                <w:sz w:val="18"/>
                <w:szCs w:val="18"/>
              </w:rPr>
              <w:t>$</w:t>
            </w:r>
            <w:r w:rsidR="0040500C">
              <w:rPr>
                <w:rFonts w:cs="Arial"/>
                <w:b/>
                <w:noProof/>
                <w:sz w:val="18"/>
                <w:szCs w:val="18"/>
              </w:rPr>
              <w:t>3,700,000</w:t>
            </w:r>
            <w:r w:rsidRPr="003D5F50">
              <w:rPr>
                <w:rFonts w:cs="Arial"/>
                <w:b/>
                <w:sz w:val="18"/>
                <w:szCs w:val="18"/>
              </w:rPr>
              <w:fldChar w:fldCharType="end"/>
            </w:r>
          </w:p>
        </w:tc>
      </w:tr>
    </w:tbl>
    <w:p w14:paraId="4E1A56D1" w14:textId="39CEDFEA" w:rsidR="00E55960" w:rsidRPr="003D5F50" w:rsidRDefault="00E55960"/>
    <w:p w14:paraId="71E7F650" w14:textId="77777777" w:rsidR="00545647" w:rsidRDefault="00545647">
      <w:pPr>
        <w:rPr>
          <w:rFonts w:cs="Arial"/>
          <w:b/>
          <w:bCs/>
          <w:sz w:val="24"/>
          <w:u w:val="single"/>
        </w:rPr>
      </w:pPr>
      <w:r>
        <w:br w:type="page"/>
      </w:r>
    </w:p>
    <w:p w14:paraId="77AD2103" w14:textId="7007AF96" w:rsidR="003D5F50" w:rsidRPr="003D5F50" w:rsidRDefault="003D5F50" w:rsidP="003D5F50">
      <w:pPr>
        <w:pStyle w:val="Heading4"/>
      </w:pPr>
      <w:r w:rsidRPr="003D5F50">
        <w:t xml:space="preserve">Table </w:t>
      </w:r>
      <w:r w:rsidR="000220F0">
        <w:t>11</w:t>
      </w:r>
      <w:r w:rsidRPr="003D5F50">
        <w:t xml:space="preserve"> – FAST Warranty Cost</w:t>
      </w:r>
    </w:p>
    <w:p w14:paraId="5070E262" w14:textId="77777777" w:rsidR="003D5F50" w:rsidRPr="003D5F50" w:rsidRDefault="003D5F50" w:rsidP="003D5F50">
      <w:pPr>
        <w:pStyle w:val="BodyText"/>
      </w:pPr>
    </w:p>
    <w:tbl>
      <w:tblPr>
        <w:tblStyle w:val="TableGrid"/>
        <w:tblW w:w="9108" w:type="dxa"/>
        <w:tblLook w:val="00A0" w:firstRow="1" w:lastRow="0" w:firstColumn="1" w:lastColumn="0" w:noHBand="0" w:noVBand="0"/>
      </w:tblPr>
      <w:tblGrid>
        <w:gridCol w:w="7038"/>
        <w:gridCol w:w="2070"/>
      </w:tblGrid>
      <w:tr w:rsidR="003D5F50" w:rsidRPr="003D5F50" w14:paraId="4E99456D" w14:textId="77777777" w:rsidTr="003D5F50">
        <w:trPr>
          <w:trHeight w:val="107"/>
        </w:trPr>
        <w:tc>
          <w:tcPr>
            <w:tcW w:w="7038" w:type="dxa"/>
            <w:shd w:val="clear" w:color="auto" w:fill="BFBFBF" w:themeFill="background1" w:themeFillShade="BF"/>
            <w:vAlign w:val="center"/>
          </w:tcPr>
          <w:p w14:paraId="1AD19701" w14:textId="76E1A1E6" w:rsidR="003D5F50" w:rsidRPr="003D5F50" w:rsidRDefault="003D5F50" w:rsidP="003D5F50">
            <w:pPr>
              <w:pStyle w:val="BodyText"/>
              <w:spacing w:after="0"/>
              <w:rPr>
                <w:b/>
                <w:sz w:val="18"/>
                <w:szCs w:val="18"/>
              </w:rPr>
            </w:pPr>
            <w:r w:rsidRPr="003D5F50">
              <w:rPr>
                <w:b/>
                <w:sz w:val="18"/>
                <w:szCs w:val="18"/>
              </w:rPr>
              <w:t>Time Period</w:t>
            </w:r>
          </w:p>
        </w:tc>
        <w:tc>
          <w:tcPr>
            <w:tcW w:w="2070" w:type="dxa"/>
            <w:shd w:val="clear" w:color="auto" w:fill="BFBFBF" w:themeFill="background1" w:themeFillShade="BF"/>
            <w:vAlign w:val="center"/>
          </w:tcPr>
          <w:p w14:paraId="759ACC37" w14:textId="77777777" w:rsidR="003D5F50" w:rsidRPr="003D5F50" w:rsidRDefault="003D5F50" w:rsidP="003D5F50">
            <w:pPr>
              <w:pStyle w:val="BodyText"/>
              <w:spacing w:after="0"/>
              <w:jc w:val="right"/>
              <w:rPr>
                <w:b/>
                <w:sz w:val="18"/>
                <w:szCs w:val="18"/>
              </w:rPr>
            </w:pPr>
            <w:r w:rsidRPr="003D5F50">
              <w:rPr>
                <w:b/>
                <w:sz w:val="18"/>
                <w:szCs w:val="18"/>
              </w:rPr>
              <w:t>Cost</w:t>
            </w:r>
          </w:p>
        </w:tc>
      </w:tr>
      <w:tr w:rsidR="003D5F50" w:rsidRPr="003D5F50" w14:paraId="0157C223" w14:textId="77777777" w:rsidTr="003D5F50">
        <w:tc>
          <w:tcPr>
            <w:tcW w:w="7038" w:type="dxa"/>
            <w:vAlign w:val="center"/>
          </w:tcPr>
          <w:p w14:paraId="690952B8" w14:textId="510295BA" w:rsidR="003D5F50" w:rsidRPr="003D5F50" w:rsidRDefault="003D5F50" w:rsidP="003D5F50">
            <w:pPr>
              <w:widowControl w:val="0"/>
              <w:autoSpaceDE w:val="0"/>
              <w:autoSpaceDN w:val="0"/>
              <w:adjustRightInd w:val="0"/>
              <w:rPr>
                <w:rFonts w:cs="Arial"/>
                <w:sz w:val="18"/>
                <w:szCs w:val="18"/>
              </w:rPr>
            </w:pPr>
            <w:r>
              <w:rPr>
                <w:rFonts w:cs="Arial"/>
                <w:sz w:val="18"/>
                <w:szCs w:val="18"/>
              </w:rPr>
              <w:t xml:space="preserve">Year 1 </w:t>
            </w:r>
            <w:r w:rsidR="00603CA2">
              <w:rPr>
                <w:rFonts w:cs="Arial"/>
                <w:sz w:val="18"/>
                <w:szCs w:val="18"/>
              </w:rPr>
              <w:t xml:space="preserve">(FY14) </w:t>
            </w:r>
            <w:r>
              <w:rPr>
                <w:rFonts w:cs="Arial"/>
                <w:sz w:val="18"/>
                <w:szCs w:val="18"/>
              </w:rPr>
              <w:t xml:space="preserve">Warranty </w:t>
            </w:r>
            <w:r w:rsidRPr="003D5F50">
              <w:rPr>
                <w:rFonts w:cs="Arial"/>
                <w:i/>
                <w:sz w:val="18"/>
                <w:szCs w:val="18"/>
              </w:rPr>
              <w:t>(Warranty costs begin after the Phase 1 rollout)</w:t>
            </w:r>
          </w:p>
        </w:tc>
        <w:tc>
          <w:tcPr>
            <w:tcW w:w="2070" w:type="dxa"/>
            <w:vAlign w:val="center"/>
          </w:tcPr>
          <w:p w14:paraId="25B73ACE" w14:textId="4F5C817D" w:rsidR="003D5F50" w:rsidRPr="003D5F50" w:rsidRDefault="003D5F50" w:rsidP="003D5F50">
            <w:pPr>
              <w:widowControl w:val="0"/>
              <w:autoSpaceDE w:val="0"/>
              <w:autoSpaceDN w:val="0"/>
              <w:adjustRightInd w:val="0"/>
              <w:jc w:val="right"/>
              <w:rPr>
                <w:rFonts w:cs="Arial"/>
                <w:sz w:val="18"/>
                <w:szCs w:val="18"/>
              </w:rPr>
            </w:pPr>
            <w:r>
              <w:rPr>
                <w:rFonts w:cs="Arial"/>
                <w:sz w:val="18"/>
                <w:szCs w:val="18"/>
              </w:rPr>
              <w:t>$0</w:t>
            </w:r>
          </w:p>
        </w:tc>
      </w:tr>
      <w:tr w:rsidR="003D5F50" w:rsidRPr="003D5F50" w14:paraId="23D6AD5E" w14:textId="77777777" w:rsidTr="003D5F50">
        <w:tc>
          <w:tcPr>
            <w:tcW w:w="7038" w:type="dxa"/>
            <w:vAlign w:val="center"/>
          </w:tcPr>
          <w:p w14:paraId="1EBF6F44" w14:textId="6B36E532" w:rsidR="003D5F50" w:rsidRPr="003D5F50" w:rsidRDefault="003D5F50" w:rsidP="003D5F50">
            <w:pPr>
              <w:widowControl w:val="0"/>
              <w:autoSpaceDE w:val="0"/>
              <w:autoSpaceDN w:val="0"/>
              <w:adjustRightInd w:val="0"/>
              <w:rPr>
                <w:rFonts w:cs="Arial"/>
                <w:sz w:val="18"/>
                <w:szCs w:val="18"/>
              </w:rPr>
            </w:pPr>
            <w:r>
              <w:rPr>
                <w:rFonts w:cs="Arial"/>
                <w:sz w:val="18"/>
                <w:szCs w:val="18"/>
              </w:rPr>
              <w:t xml:space="preserve">Year 2 </w:t>
            </w:r>
            <w:r w:rsidR="00603CA2">
              <w:rPr>
                <w:rFonts w:cs="Arial"/>
                <w:sz w:val="18"/>
                <w:szCs w:val="18"/>
              </w:rPr>
              <w:t xml:space="preserve">(FY15) </w:t>
            </w:r>
            <w:r>
              <w:rPr>
                <w:rFonts w:cs="Arial"/>
                <w:sz w:val="18"/>
                <w:szCs w:val="18"/>
              </w:rPr>
              <w:t>Warranty</w:t>
            </w:r>
          </w:p>
        </w:tc>
        <w:tc>
          <w:tcPr>
            <w:tcW w:w="2070" w:type="dxa"/>
            <w:vAlign w:val="center"/>
          </w:tcPr>
          <w:p w14:paraId="311C402C" w14:textId="2AE06D61" w:rsidR="003D5F50" w:rsidRPr="003D5F50" w:rsidRDefault="003D5F50" w:rsidP="003D5F50">
            <w:pPr>
              <w:widowControl w:val="0"/>
              <w:autoSpaceDE w:val="0"/>
              <w:autoSpaceDN w:val="0"/>
              <w:adjustRightInd w:val="0"/>
              <w:jc w:val="right"/>
              <w:rPr>
                <w:rFonts w:cs="Arial"/>
                <w:sz w:val="18"/>
                <w:szCs w:val="18"/>
              </w:rPr>
            </w:pPr>
            <w:r>
              <w:rPr>
                <w:rFonts w:cs="Arial"/>
                <w:sz w:val="18"/>
                <w:szCs w:val="18"/>
              </w:rPr>
              <w:t>$500,000</w:t>
            </w:r>
          </w:p>
        </w:tc>
      </w:tr>
      <w:tr w:rsidR="003D5F50" w:rsidRPr="003D5F50" w14:paraId="34F7E8B2" w14:textId="77777777" w:rsidTr="003D5F50">
        <w:tc>
          <w:tcPr>
            <w:tcW w:w="7038" w:type="dxa"/>
            <w:vAlign w:val="center"/>
          </w:tcPr>
          <w:p w14:paraId="7DC5B504" w14:textId="3403AD32" w:rsidR="003D5F50" w:rsidRPr="003D5F50" w:rsidRDefault="003D5F50" w:rsidP="003D5F50">
            <w:pPr>
              <w:widowControl w:val="0"/>
              <w:autoSpaceDE w:val="0"/>
              <w:autoSpaceDN w:val="0"/>
              <w:adjustRightInd w:val="0"/>
              <w:rPr>
                <w:rFonts w:cs="Arial"/>
                <w:sz w:val="18"/>
                <w:szCs w:val="18"/>
              </w:rPr>
            </w:pPr>
            <w:r>
              <w:rPr>
                <w:rFonts w:cs="Arial"/>
                <w:sz w:val="18"/>
                <w:szCs w:val="18"/>
              </w:rPr>
              <w:t xml:space="preserve">Year 3 </w:t>
            </w:r>
            <w:r w:rsidR="00603CA2">
              <w:rPr>
                <w:rFonts w:cs="Arial"/>
                <w:sz w:val="18"/>
                <w:szCs w:val="18"/>
              </w:rPr>
              <w:t xml:space="preserve">(FY16) </w:t>
            </w:r>
            <w:r>
              <w:rPr>
                <w:rFonts w:cs="Arial"/>
                <w:sz w:val="18"/>
                <w:szCs w:val="18"/>
              </w:rPr>
              <w:t>Warranty</w:t>
            </w:r>
          </w:p>
        </w:tc>
        <w:tc>
          <w:tcPr>
            <w:tcW w:w="2070" w:type="dxa"/>
            <w:vAlign w:val="center"/>
          </w:tcPr>
          <w:p w14:paraId="24BE560D" w14:textId="7ED0FB53" w:rsidR="003D5F50" w:rsidRPr="003D5F50" w:rsidRDefault="003D5F50" w:rsidP="003D5F50">
            <w:pPr>
              <w:widowControl w:val="0"/>
              <w:autoSpaceDE w:val="0"/>
              <w:autoSpaceDN w:val="0"/>
              <w:adjustRightInd w:val="0"/>
              <w:jc w:val="right"/>
              <w:rPr>
                <w:rFonts w:cs="Arial"/>
                <w:sz w:val="18"/>
                <w:szCs w:val="18"/>
              </w:rPr>
            </w:pPr>
            <w:r>
              <w:rPr>
                <w:rFonts w:cs="Arial"/>
                <w:sz w:val="18"/>
                <w:szCs w:val="18"/>
              </w:rPr>
              <w:t>$1,000,000</w:t>
            </w:r>
          </w:p>
        </w:tc>
      </w:tr>
      <w:tr w:rsidR="003D5F50" w:rsidRPr="003D5F50" w14:paraId="493854C3" w14:textId="77777777" w:rsidTr="003D5F50">
        <w:tc>
          <w:tcPr>
            <w:tcW w:w="7038" w:type="dxa"/>
            <w:vAlign w:val="center"/>
          </w:tcPr>
          <w:p w14:paraId="25A6C271" w14:textId="0C181EB9" w:rsidR="003D5F50" w:rsidRPr="003D5F50" w:rsidRDefault="003D5F50" w:rsidP="003D5F50">
            <w:pPr>
              <w:widowControl w:val="0"/>
              <w:autoSpaceDE w:val="0"/>
              <w:autoSpaceDN w:val="0"/>
              <w:adjustRightInd w:val="0"/>
              <w:rPr>
                <w:rFonts w:cs="Arial"/>
                <w:sz w:val="18"/>
                <w:szCs w:val="18"/>
              </w:rPr>
            </w:pPr>
            <w:r>
              <w:rPr>
                <w:rFonts w:cs="Arial"/>
                <w:sz w:val="18"/>
                <w:szCs w:val="18"/>
              </w:rPr>
              <w:t xml:space="preserve">Year 4 </w:t>
            </w:r>
            <w:r w:rsidR="00603CA2">
              <w:rPr>
                <w:rFonts w:cs="Arial"/>
                <w:sz w:val="18"/>
                <w:szCs w:val="18"/>
              </w:rPr>
              <w:t xml:space="preserve">(FY17) </w:t>
            </w:r>
            <w:r>
              <w:rPr>
                <w:rFonts w:cs="Arial"/>
                <w:sz w:val="18"/>
                <w:szCs w:val="18"/>
              </w:rPr>
              <w:t>Warranty</w:t>
            </w:r>
          </w:p>
        </w:tc>
        <w:tc>
          <w:tcPr>
            <w:tcW w:w="2070" w:type="dxa"/>
            <w:vAlign w:val="center"/>
          </w:tcPr>
          <w:p w14:paraId="097E315C" w14:textId="6A7C7179" w:rsidR="003D5F50" w:rsidRPr="003D5F50" w:rsidRDefault="003D5F50" w:rsidP="003D5F50">
            <w:pPr>
              <w:widowControl w:val="0"/>
              <w:autoSpaceDE w:val="0"/>
              <w:autoSpaceDN w:val="0"/>
              <w:adjustRightInd w:val="0"/>
              <w:jc w:val="right"/>
              <w:rPr>
                <w:rFonts w:cs="Arial"/>
                <w:sz w:val="18"/>
                <w:szCs w:val="18"/>
              </w:rPr>
            </w:pPr>
            <w:r>
              <w:rPr>
                <w:rFonts w:cs="Arial"/>
                <w:sz w:val="18"/>
                <w:szCs w:val="18"/>
              </w:rPr>
              <w:t>$500,000</w:t>
            </w:r>
          </w:p>
        </w:tc>
      </w:tr>
      <w:tr w:rsidR="003D5F50" w:rsidRPr="003D5F50" w14:paraId="4CCDCA7E" w14:textId="77777777" w:rsidTr="003D5F50">
        <w:tc>
          <w:tcPr>
            <w:tcW w:w="7038" w:type="dxa"/>
            <w:vAlign w:val="center"/>
          </w:tcPr>
          <w:p w14:paraId="11189B7A" w14:textId="145F6498" w:rsidR="003D5F50" w:rsidRPr="003D5F50" w:rsidRDefault="003D5F50" w:rsidP="003D5F50">
            <w:pPr>
              <w:widowControl w:val="0"/>
              <w:autoSpaceDE w:val="0"/>
              <w:autoSpaceDN w:val="0"/>
              <w:adjustRightInd w:val="0"/>
              <w:rPr>
                <w:rFonts w:cs="Arial"/>
                <w:sz w:val="18"/>
                <w:szCs w:val="18"/>
              </w:rPr>
            </w:pPr>
            <w:r>
              <w:rPr>
                <w:rFonts w:cs="Arial"/>
                <w:sz w:val="18"/>
                <w:szCs w:val="18"/>
              </w:rPr>
              <w:t xml:space="preserve">Year 5 </w:t>
            </w:r>
            <w:r w:rsidR="00603CA2">
              <w:rPr>
                <w:rFonts w:cs="Arial"/>
                <w:sz w:val="18"/>
                <w:szCs w:val="18"/>
              </w:rPr>
              <w:t xml:space="preserve">(FY18) </w:t>
            </w:r>
            <w:r>
              <w:rPr>
                <w:rFonts w:cs="Arial"/>
                <w:sz w:val="18"/>
                <w:szCs w:val="18"/>
              </w:rPr>
              <w:t>Warranty</w:t>
            </w:r>
          </w:p>
        </w:tc>
        <w:tc>
          <w:tcPr>
            <w:tcW w:w="2070" w:type="dxa"/>
            <w:vAlign w:val="center"/>
          </w:tcPr>
          <w:p w14:paraId="78115A9A" w14:textId="431A177B" w:rsidR="003D5F50" w:rsidRPr="003D5F50" w:rsidRDefault="003D5F50" w:rsidP="003D5F50">
            <w:pPr>
              <w:widowControl w:val="0"/>
              <w:autoSpaceDE w:val="0"/>
              <w:autoSpaceDN w:val="0"/>
              <w:adjustRightInd w:val="0"/>
              <w:jc w:val="right"/>
              <w:rPr>
                <w:rFonts w:cs="Arial"/>
                <w:sz w:val="18"/>
                <w:szCs w:val="18"/>
              </w:rPr>
            </w:pPr>
            <w:r>
              <w:rPr>
                <w:rFonts w:cs="Arial"/>
                <w:sz w:val="18"/>
                <w:szCs w:val="18"/>
              </w:rPr>
              <w:t>$1,000,000</w:t>
            </w:r>
          </w:p>
        </w:tc>
      </w:tr>
      <w:tr w:rsidR="003D5F50" w:rsidRPr="003D5F50" w14:paraId="29FAE002" w14:textId="77777777" w:rsidTr="003D5F50">
        <w:tc>
          <w:tcPr>
            <w:tcW w:w="7038" w:type="dxa"/>
            <w:vAlign w:val="center"/>
          </w:tcPr>
          <w:p w14:paraId="3D7BA977" w14:textId="2AA2D657" w:rsidR="003D5F50" w:rsidRPr="003D5F50" w:rsidRDefault="003D5F50" w:rsidP="003D5F50">
            <w:pPr>
              <w:widowControl w:val="0"/>
              <w:tabs>
                <w:tab w:val="left" w:pos="3135"/>
              </w:tabs>
              <w:autoSpaceDE w:val="0"/>
              <w:autoSpaceDN w:val="0"/>
              <w:adjustRightInd w:val="0"/>
              <w:rPr>
                <w:rFonts w:cs="Arial"/>
                <w:sz w:val="18"/>
                <w:szCs w:val="18"/>
              </w:rPr>
            </w:pPr>
            <w:r w:rsidRPr="003D5F50">
              <w:rPr>
                <w:rFonts w:cs="Arial"/>
                <w:sz w:val="18"/>
                <w:szCs w:val="18"/>
              </w:rPr>
              <w:t xml:space="preserve">Year 6 </w:t>
            </w:r>
            <w:r w:rsidR="00603CA2">
              <w:rPr>
                <w:rFonts w:cs="Arial"/>
                <w:sz w:val="18"/>
                <w:szCs w:val="18"/>
              </w:rPr>
              <w:t xml:space="preserve">(FY19) </w:t>
            </w:r>
            <w:r w:rsidRPr="003D5F50">
              <w:rPr>
                <w:rFonts w:cs="Arial"/>
                <w:sz w:val="18"/>
                <w:szCs w:val="18"/>
              </w:rPr>
              <w:t>Warranty</w:t>
            </w:r>
          </w:p>
        </w:tc>
        <w:tc>
          <w:tcPr>
            <w:tcW w:w="2070" w:type="dxa"/>
            <w:vAlign w:val="center"/>
          </w:tcPr>
          <w:p w14:paraId="4C210648" w14:textId="5B03B26F" w:rsidR="003D5F50" w:rsidRPr="003D5F50" w:rsidRDefault="003D5F50" w:rsidP="003D5F50">
            <w:pPr>
              <w:widowControl w:val="0"/>
              <w:autoSpaceDE w:val="0"/>
              <w:autoSpaceDN w:val="0"/>
              <w:adjustRightInd w:val="0"/>
              <w:jc w:val="right"/>
              <w:rPr>
                <w:rFonts w:cs="Arial"/>
                <w:sz w:val="18"/>
                <w:szCs w:val="18"/>
              </w:rPr>
            </w:pPr>
            <w:r w:rsidRPr="003D5F50">
              <w:rPr>
                <w:rFonts w:cs="Arial"/>
                <w:sz w:val="18"/>
                <w:szCs w:val="18"/>
              </w:rPr>
              <w:t>$1,000,000</w:t>
            </w:r>
          </w:p>
        </w:tc>
      </w:tr>
      <w:tr w:rsidR="003D5F50" w:rsidRPr="003D5F50" w14:paraId="7D4CA218" w14:textId="77777777" w:rsidTr="003D5F50">
        <w:tc>
          <w:tcPr>
            <w:tcW w:w="7038" w:type="dxa"/>
            <w:vAlign w:val="center"/>
          </w:tcPr>
          <w:p w14:paraId="59D4DB9F" w14:textId="77777777" w:rsidR="003D5F50" w:rsidRPr="003D5F50" w:rsidRDefault="003D5F50" w:rsidP="003D5F50">
            <w:pPr>
              <w:widowControl w:val="0"/>
              <w:tabs>
                <w:tab w:val="left" w:pos="3135"/>
              </w:tabs>
              <w:autoSpaceDE w:val="0"/>
              <w:autoSpaceDN w:val="0"/>
              <w:adjustRightInd w:val="0"/>
              <w:rPr>
                <w:rFonts w:cs="Arial"/>
                <w:b/>
                <w:sz w:val="18"/>
                <w:szCs w:val="18"/>
              </w:rPr>
            </w:pPr>
            <w:r w:rsidRPr="003D5F50">
              <w:rPr>
                <w:rFonts w:cs="Arial"/>
                <w:b/>
                <w:sz w:val="18"/>
                <w:szCs w:val="18"/>
              </w:rPr>
              <w:t>Total</w:t>
            </w:r>
          </w:p>
        </w:tc>
        <w:tc>
          <w:tcPr>
            <w:tcW w:w="2070" w:type="dxa"/>
            <w:vAlign w:val="center"/>
          </w:tcPr>
          <w:p w14:paraId="55FA4597" w14:textId="53202F53" w:rsidR="003D5F50" w:rsidRPr="003D5F50" w:rsidRDefault="003D5F50" w:rsidP="003D5F50">
            <w:pPr>
              <w:widowControl w:val="0"/>
              <w:autoSpaceDE w:val="0"/>
              <w:autoSpaceDN w:val="0"/>
              <w:adjustRightInd w:val="0"/>
              <w:jc w:val="right"/>
              <w:rPr>
                <w:rFonts w:cs="Arial"/>
                <w:b/>
                <w:sz w:val="18"/>
                <w:szCs w:val="18"/>
              </w:rPr>
            </w:pPr>
            <w:r>
              <w:rPr>
                <w:rFonts w:cs="Arial"/>
                <w:b/>
                <w:sz w:val="18"/>
                <w:szCs w:val="18"/>
              </w:rPr>
              <w:t>$4,000,000</w:t>
            </w:r>
          </w:p>
        </w:tc>
      </w:tr>
    </w:tbl>
    <w:p w14:paraId="246162F4" w14:textId="77777777" w:rsidR="003D5F50" w:rsidRDefault="003D5F50" w:rsidP="00FC2ECD">
      <w:pPr>
        <w:pStyle w:val="BodyText"/>
      </w:pPr>
    </w:p>
    <w:p w14:paraId="72F60BF6" w14:textId="4DEC63CB" w:rsidR="00FC2ECD" w:rsidRDefault="00010C1B" w:rsidP="00FC2ECD">
      <w:pPr>
        <w:pStyle w:val="BodyText"/>
      </w:pPr>
      <w:r w:rsidRPr="003D5F50">
        <w:t>The operating system and supporting technology maintenance and s</w:t>
      </w:r>
      <w:r w:rsidR="00FC2ECD" w:rsidRPr="003D5F50">
        <w:t>upport</w:t>
      </w:r>
      <w:r w:rsidR="003D5F50">
        <w:t xml:space="preserve"> is listed below.  These values cover:</w:t>
      </w:r>
    </w:p>
    <w:p w14:paraId="44141541" w14:textId="77777777" w:rsidR="003D5F50" w:rsidRDefault="003D5F50" w:rsidP="00E7796B">
      <w:pPr>
        <w:pStyle w:val="TableBullet"/>
      </w:pPr>
      <w:r>
        <w:t>Operating System and Web Services Software Licenses</w:t>
      </w:r>
    </w:p>
    <w:p w14:paraId="51803FDF" w14:textId="77777777" w:rsidR="003D5F50" w:rsidRDefault="003D5F50" w:rsidP="00E7796B">
      <w:pPr>
        <w:pStyle w:val="TableBullet"/>
      </w:pPr>
      <w:r>
        <w:t>SQL Server</w:t>
      </w:r>
    </w:p>
    <w:p w14:paraId="401F1F02" w14:textId="77777777" w:rsidR="003D5F50" w:rsidRDefault="003D5F50" w:rsidP="00E7796B">
      <w:pPr>
        <w:pStyle w:val="TableBullet"/>
      </w:pPr>
      <w:r>
        <w:t>VMWare</w:t>
      </w:r>
    </w:p>
    <w:p w14:paraId="6D576C8E" w14:textId="04F57722" w:rsidR="003D5F50" w:rsidRDefault="003D5F50" w:rsidP="00E7796B">
      <w:pPr>
        <w:pStyle w:val="TableBullet"/>
      </w:pPr>
      <w:r>
        <w:t>Adobe Captivate / RedGate ANTS</w:t>
      </w:r>
    </w:p>
    <w:p w14:paraId="6FF35A2D" w14:textId="083B2FA7" w:rsidR="00E7796B" w:rsidRDefault="00E7796B" w:rsidP="00E7796B">
      <w:pPr>
        <w:pStyle w:val="Heading4"/>
      </w:pPr>
      <w:r>
        <w:t xml:space="preserve">Table </w:t>
      </w:r>
      <w:r w:rsidR="000220F0">
        <w:t>12</w:t>
      </w:r>
      <w:r>
        <w:t xml:space="preserve"> – Other Supporting Software Maintenance and Support Cost</w:t>
      </w:r>
    </w:p>
    <w:p w14:paraId="2C811AF1" w14:textId="77777777" w:rsidR="00E7796B" w:rsidRPr="003D5F50" w:rsidRDefault="00E7796B" w:rsidP="00E7796B">
      <w:pPr>
        <w:pStyle w:val="TableBullet"/>
        <w:numPr>
          <w:ilvl w:val="0"/>
          <w:numId w:val="0"/>
        </w:numPr>
        <w:ind w:left="216" w:hanging="216"/>
      </w:pPr>
    </w:p>
    <w:tbl>
      <w:tblPr>
        <w:tblStyle w:val="TableGrid"/>
        <w:tblW w:w="9108" w:type="dxa"/>
        <w:tblLook w:val="00A0" w:firstRow="1" w:lastRow="0" w:firstColumn="1" w:lastColumn="0" w:noHBand="0" w:noVBand="0"/>
      </w:tblPr>
      <w:tblGrid>
        <w:gridCol w:w="7038"/>
        <w:gridCol w:w="2070"/>
      </w:tblGrid>
      <w:tr w:rsidR="00FC2ECD" w:rsidRPr="003D5F50" w14:paraId="72F60BF9" w14:textId="77777777" w:rsidTr="00493235">
        <w:trPr>
          <w:cantSplit/>
          <w:trHeight w:val="70"/>
        </w:trPr>
        <w:tc>
          <w:tcPr>
            <w:tcW w:w="7038" w:type="dxa"/>
            <w:shd w:val="clear" w:color="auto" w:fill="BFBFBF" w:themeFill="background1" w:themeFillShade="BF"/>
            <w:vAlign w:val="center"/>
          </w:tcPr>
          <w:p w14:paraId="72F60BF7" w14:textId="77777777" w:rsidR="00FC2ECD" w:rsidRPr="003D5F50" w:rsidRDefault="00D85F54" w:rsidP="00493235">
            <w:pPr>
              <w:pStyle w:val="BodyText"/>
              <w:spacing w:after="0"/>
              <w:rPr>
                <w:b/>
                <w:sz w:val="18"/>
                <w:szCs w:val="18"/>
              </w:rPr>
            </w:pPr>
            <w:r w:rsidRPr="003D5F50">
              <w:rPr>
                <w:b/>
                <w:sz w:val="18"/>
                <w:szCs w:val="18"/>
              </w:rPr>
              <w:t xml:space="preserve">Operating System and </w:t>
            </w:r>
            <w:r w:rsidR="00787E9F" w:rsidRPr="003D5F50">
              <w:rPr>
                <w:b/>
                <w:sz w:val="18"/>
                <w:szCs w:val="18"/>
              </w:rPr>
              <w:t>Supporting</w:t>
            </w:r>
            <w:r w:rsidR="00FC2ECD" w:rsidRPr="003D5F50">
              <w:rPr>
                <w:b/>
                <w:sz w:val="18"/>
                <w:szCs w:val="18"/>
              </w:rPr>
              <w:t xml:space="preserve"> Product</w:t>
            </w:r>
            <w:r w:rsidR="00787E9F" w:rsidRPr="003D5F50">
              <w:rPr>
                <w:b/>
                <w:sz w:val="18"/>
                <w:szCs w:val="18"/>
              </w:rPr>
              <w:t>s</w:t>
            </w:r>
            <w:r w:rsidR="00FC2ECD" w:rsidRPr="003D5F50">
              <w:rPr>
                <w:b/>
                <w:sz w:val="18"/>
                <w:szCs w:val="18"/>
              </w:rPr>
              <w:t xml:space="preserve"> Maintenance and Support</w:t>
            </w:r>
          </w:p>
        </w:tc>
        <w:tc>
          <w:tcPr>
            <w:tcW w:w="2070" w:type="dxa"/>
            <w:shd w:val="clear" w:color="auto" w:fill="BFBFBF" w:themeFill="background1" w:themeFillShade="BF"/>
            <w:vAlign w:val="center"/>
          </w:tcPr>
          <w:p w14:paraId="72F60BF8" w14:textId="77777777" w:rsidR="00FC2ECD" w:rsidRPr="003D5F50" w:rsidRDefault="00FC2ECD" w:rsidP="00493235">
            <w:pPr>
              <w:pStyle w:val="BodyText"/>
              <w:spacing w:after="0"/>
              <w:jc w:val="right"/>
              <w:rPr>
                <w:b/>
                <w:sz w:val="18"/>
                <w:szCs w:val="18"/>
              </w:rPr>
            </w:pPr>
            <w:r w:rsidRPr="003D5F50">
              <w:rPr>
                <w:b/>
                <w:sz w:val="18"/>
                <w:szCs w:val="18"/>
              </w:rPr>
              <w:t>Cost</w:t>
            </w:r>
          </w:p>
        </w:tc>
      </w:tr>
      <w:tr w:rsidR="00FC2ECD" w:rsidRPr="003D5F50" w14:paraId="72F60BFC" w14:textId="77777777" w:rsidTr="00493235">
        <w:trPr>
          <w:cantSplit/>
        </w:trPr>
        <w:tc>
          <w:tcPr>
            <w:tcW w:w="7038" w:type="dxa"/>
            <w:vAlign w:val="center"/>
          </w:tcPr>
          <w:p w14:paraId="72F60BFA" w14:textId="6DBC840E" w:rsidR="00FC2ECD" w:rsidRPr="003D5F50" w:rsidRDefault="00FC2ECD" w:rsidP="00493235">
            <w:pPr>
              <w:widowControl w:val="0"/>
              <w:autoSpaceDE w:val="0"/>
              <w:autoSpaceDN w:val="0"/>
              <w:adjustRightInd w:val="0"/>
              <w:rPr>
                <w:rFonts w:cs="Arial"/>
                <w:sz w:val="18"/>
                <w:szCs w:val="18"/>
              </w:rPr>
            </w:pPr>
            <w:r w:rsidRPr="003D5F50">
              <w:rPr>
                <w:rFonts w:cs="Arial"/>
                <w:sz w:val="18"/>
                <w:szCs w:val="18"/>
              </w:rPr>
              <w:t xml:space="preserve">Year 1 </w:t>
            </w:r>
            <w:r w:rsidR="00603CA2">
              <w:rPr>
                <w:rFonts w:cs="Arial"/>
                <w:sz w:val="18"/>
                <w:szCs w:val="18"/>
              </w:rPr>
              <w:t xml:space="preserve">(FY14) </w:t>
            </w:r>
            <w:r w:rsidRPr="003D5F50">
              <w:rPr>
                <w:rFonts w:cs="Arial"/>
                <w:sz w:val="18"/>
                <w:szCs w:val="18"/>
              </w:rPr>
              <w:t>Maintenance and Support</w:t>
            </w:r>
          </w:p>
        </w:tc>
        <w:tc>
          <w:tcPr>
            <w:tcW w:w="2070" w:type="dxa"/>
            <w:vAlign w:val="center"/>
          </w:tcPr>
          <w:p w14:paraId="72F60BFB" w14:textId="77777777" w:rsidR="00FC2ECD"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$69,325</w:t>
            </w:r>
          </w:p>
        </w:tc>
      </w:tr>
      <w:tr w:rsidR="00FC2ECD" w:rsidRPr="003D5F50" w14:paraId="72F60BFF" w14:textId="77777777" w:rsidTr="00493235">
        <w:trPr>
          <w:cantSplit/>
        </w:trPr>
        <w:tc>
          <w:tcPr>
            <w:tcW w:w="7038" w:type="dxa"/>
            <w:vAlign w:val="center"/>
          </w:tcPr>
          <w:p w14:paraId="72F60BFD" w14:textId="7422F622" w:rsidR="00FC2ECD" w:rsidRPr="003D5F50" w:rsidRDefault="00FC2ECD" w:rsidP="00493235">
            <w:pPr>
              <w:widowControl w:val="0"/>
              <w:autoSpaceDE w:val="0"/>
              <w:autoSpaceDN w:val="0"/>
              <w:adjustRightInd w:val="0"/>
              <w:rPr>
                <w:rFonts w:cs="Arial"/>
                <w:sz w:val="18"/>
                <w:szCs w:val="18"/>
              </w:rPr>
            </w:pPr>
            <w:r w:rsidRPr="003D5F50">
              <w:rPr>
                <w:rFonts w:cs="Arial"/>
                <w:sz w:val="18"/>
                <w:szCs w:val="18"/>
              </w:rPr>
              <w:t xml:space="preserve">Year 2 </w:t>
            </w:r>
            <w:r w:rsidR="00603CA2">
              <w:rPr>
                <w:rFonts w:cs="Arial"/>
                <w:sz w:val="18"/>
                <w:szCs w:val="18"/>
              </w:rPr>
              <w:t xml:space="preserve">(FY15) </w:t>
            </w:r>
            <w:r w:rsidRPr="003D5F50">
              <w:rPr>
                <w:rFonts w:cs="Arial"/>
                <w:sz w:val="18"/>
                <w:szCs w:val="18"/>
              </w:rPr>
              <w:t>Maintenance and Support</w:t>
            </w:r>
          </w:p>
        </w:tc>
        <w:tc>
          <w:tcPr>
            <w:tcW w:w="2070" w:type="dxa"/>
            <w:vAlign w:val="center"/>
          </w:tcPr>
          <w:p w14:paraId="72F60BFE" w14:textId="77777777" w:rsidR="00FC2ECD"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$69,325</w:t>
            </w:r>
          </w:p>
        </w:tc>
      </w:tr>
      <w:tr w:rsidR="00FC2ECD" w:rsidRPr="003D5F50" w14:paraId="72F60C02" w14:textId="77777777" w:rsidTr="00493235">
        <w:trPr>
          <w:cantSplit/>
        </w:trPr>
        <w:tc>
          <w:tcPr>
            <w:tcW w:w="7038" w:type="dxa"/>
            <w:vAlign w:val="center"/>
          </w:tcPr>
          <w:p w14:paraId="72F60C00" w14:textId="7C4969AA" w:rsidR="00FC2ECD" w:rsidRPr="003D5F50" w:rsidRDefault="00FC2ECD" w:rsidP="00493235">
            <w:pPr>
              <w:widowControl w:val="0"/>
              <w:autoSpaceDE w:val="0"/>
              <w:autoSpaceDN w:val="0"/>
              <w:adjustRightInd w:val="0"/>
              <w:rPr>
                <w:rFonts w:cs="Arial"/>
                <w:sz w:val="18"/>
                <w:szCs w:val="18"/>
              </w:rPr>
            </w:pPr>
            <w:r w:rsidRPr="003D5F50">
              <w:rPr>
                <w:rFonts w:cs="Arial"/>
                <w:sz w:val="18"/>
                <w:szCs w:val="18"/>
              </w:rPr>
              <w:t xml:space="preserve">Year 3 </w:t>
            </w:r>
            <w:r w:rsidR="00603CA2">
              <w:rPr>
                <w:rFonts w:cs="Arial"/>
                <w:sz w:val="18"/>
                <w:szCs w:val="18"/>
              </w:rPr>
              <w:t xml:space="preserve">(FY16) </w:t>
            </w:r>
            <w:r w:rsidRPr="003D5F50">
              <w:rPr>
                <w:rFonts w:cs="Arial"/>
                <w:sz w:val="18"/>
                <w:szCs w:val="18"/>
              </w:rPr>
              <w:t>Maintenance and Support</w:t>
            </w:r>
          </w:p>
        </w:tc>
        <w:tc>
          <w:tcPr>
            <w:tcW w:w="2070" w:type="dxa"/>
            <w:vAlign w:val="center"/>
          </w:tcPr>
          <w:p w14:paraId="72F60C01" w14:textId="77777777" w:rsidR="00FC2ECD"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$69,325</w:t>
            </w:r>
          </w:p>
        </w:tc>
      </w:tr>
      <w:tr w:rsidR="00FC2ECD" w:rsidRPr="003D5F50" w14:paraId="72F60C05" w14:textId="77777777" w:rsidTr="00493235">
        <w:trPr>
          <w:cantSplit/>
        </w:trPr>
        <w:tc>
          <w:tcPr>
            <w:tcW w:w="7038" w:type="dxa"/>
            <w:vAlign w:val="center"/>
          </w:tcPr>
          <w:p w14:paraId="72F60C03" w14:textId="27678D94" w:rsidR="00FC2ECD" w:rsidRPr="003D5F50" w:rsidRDefault="00FC2ECD" w:rsidP="00493235">
            <w:pPr>
              <w:widowControl w:val="0"/>
              <w:autoSpaceDE w:val="0"/>
              <w:autoSpaceDN w:val="0"/>
              <w:adjustRightInd w:val="0"/>
              <w:rPr>
                <w:rFonts w:cs="Arial"/>
                <w:sz w:val="18"/>
                <w:szCs w:val="18"/>
              </w:rPr>
            </w:pPr>
            <w:r w:rsidRPr="003D5F50">
              <w:rPr>
                <w:rFonts w:cs="Arial"/>
                <w:sz w:val="18"/>
                <w:szCs w:val="18"/>
              </w:rPr>
              <w:t xml:space="preserve">Year 4 </w:t>
            </w:r>
            <w:r w:rsidR="00603CA2">
              <w:rPr>
                <w:rFonts w:cs="Arial"/>
                <w:sz w:val="18"/>
                <w:szCs w:val="18"/>
              </w:rPr>
              <w:t xml:space="preserve">(FY17) </w:t>
            </w:r>
            <w:r w:rsidRPr="003D5F50">
              <w:rPr>
                <w:rFonts w:cs="Arial"/>
                <w:sz w:val="18"/>
                <w:szCs w:val="18"/>
              </w:rPr>
              <w:t>Maintenance and Support</w:t>
            </w:r>
          </w:p>
        </w:tc>
        <w:tc>
          <w:tcPr>
            <w:tcW w:w="2070" w:type="dxa"/>
            <w:vAlign w:val="center"/>
          </w:tcPr>
          <w:p w14:paraId="72F60C04" w14:textId="77777777" w:rsidR="00FC2ECD"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$69,325</w:t>
            </w:r>
          </w:p>
        </w:tc>
      </w:tr>
      <w:tr w:rsidR="00FC2ECD" w:rsidRPr="003D5F50" w14:paraId="72F60C08" w14:textId="77777777" w:rsidTr="00493235">
        <w:trPr>
          <w:cantSplit/>
        </w:trPr>
        <w:tc>
          <w:tcPr>
            <w:tcW w:w="7038" w:type="dxa"/>
            <w:vAlign w:val="center"/>
          </w:tcPr>
          <w:p w14:paraId="72F60C06" w14:textId="4AAF331E" w:rsidR="00FC2ECD" w:rsidRPr="003D5F50" w:rsidRDefault="00FC2ECD" w:rsidP="00493235">
            <w:pPr>
              <w:widowControl w:val="0"/>
              <w:autoSpaceDE w:val="0"/>
              <w:autoSpaceDN w:val="0"/>
              <w:adjustRightInd w:val="0"/>
              <w:rPr>
                <w:rFonts w:cs="Arial"/>
                <w:sz w:val="18"/>
                <w:szCs w:val="18"/>
              </w:rPr>
            </w:pPr>
            <w:r w:rsidRPr="003D5F50">
              <w:rPr>
                <w:rFonts w:cs="Arial"/>
                <w:sz w:val="18"/>
                <w:szCs w:val="18"/>
              </w:rPr>
              <w:t xml:space="preserve">Year 5 </w:t>
            </w:r>
            <w:r w:rsidR="00603CA2">
              <w:rPr>
                <w:rFonts w:cs="Arial"/>
                <w:sz w:val="18"/>
                <w:szCs w:val="18"/>
              </w:rPr>
              <w:t xml:space="preserve">(FY18) </w:t>
            </w:r>
            <w:r w:rsidRPr="003D5F50">
              <w:rPr>
                <w:rFonts w:cs="Arial"/>
                <w:sz w:val="18"/>
                <w:szCs w:val="18"/>
              </w:rPr>
              <w:t>Maintenance and Support</w:t>
            </w:r>
          </w:p>
        </w:tc>
        <w:tc>
          <w:tcPr>
            <w:tcW w:w="2070" w:type="dxa"/>
            <w:vAlign w:val="center"/>
          </w:tcPr>
          <w:p w14:paraId="72F60C07" w14:textId="77777777" w:rsidR="00FC2ECD" w:rsidRPr="003D5F50" w:rsidRDefault="00FC2ECD" w:rsidP="00493235">
            <w:pPr>
              <w:widowControl w:val="0"/>
              <w:autoSpaceDE w:val="0"/>
              <w:autoSpaceDN w:val="0"/>
              <w:adjustRightInd w:val="0"/>
              <w:jc w:val="right"/>
              <w:rPr>
                <w:rFonts w:cs="Arial"/>
                <w:sz w:val="18"/>
                <w:szCs w:val="18"/>
              </w:rPr>
            </w:pPr>
            <w:r w:rsidRPr="003D5F50">
              <w:rPr>
                <w:rFonts w:cs="Arial"/>
                <w:sz w:val="18"/>
                <w:szCs w:val="18"/>
              </w:rPr>
              <w:t>$69,325</w:t>
            </w:r>
          </w:p>
        </w:tc>
      </w:tr>
      <w:tr w:rsidR="00FC2ECD" w:rsidRPr="003D5F50" w14:paraId="72F60C0B" w14:textId="77777777" w:rsidTr="00493235">
        <w:trPr>
          <w:cantSplit/>
        </w:trPr>
        <w:tc>
          <w:tcPr>
            <w:tcW w:w="7038" w:type="dxa"/>
            <w:vAlign w:val="center"/>
          </w:tcPr>
          <w:p w14:paraId="72F60C09" w14:textId="77777777" w:rsidR="00FC2ECD" w:rsidRPr="003D5F50" w:rsidRDefault="00323A9E" w:rsidP="00493235">
            <w:pPr>
              <w:widowControl w:val="0"/>
              <w:autoSpaceDE w:val="0"/>
              <w:autoSpaceDN w:val="0"/>
              <w:adjustRightInd w:val="0"/>
              <w:rPr>
                <w:rFonts w:cs="Arial"/>
                <w:b/>
                <w:sz w:val="18"/>
                <w:szCs w:val="18"/>
              </w:rPr>
            </w:pPr>
            <w:r w:rsidRPr="003D5F50">
              <w:rPr>
                <w:rFonts w:cs="Arial"/>
                <w:b/>
                <w:sz w:val="18"/>
                <w:szCs w:val="18"/>
              </w:rPr>
              <w:t>Total</w:t>
            </w:r>
          </w:p>
        </w:tc>
        <w:tc>
          <w:tcPr>
            <w:tcW w:w="2070" w:type="dxa"/>
            <w:vAlign w:val="center"/>
          </w:tcPr>
          <w:p w14:paraId="72F60C0A" w14:textId="65661AA6" w:rsidR="00FC2ECD" w:rsidRPr="003D5F50" w:rsidRDefault="003D5F50" w:rsidP="00603CA2">
            <w:pPr>
              <w:widowControl w:val="0"/>
              <w:autoSpaceDE w:val="0"/>
              <w:autoSpaceDN w:val="0"/>
              <w:adjustRightInd w:val="0"/>
              <w:jc w:val="right"/>
              <w:rPr>
                <w:rFonts w:cs="Arial"/>
                <w:b/>
                <w:sz w:val="18"/>
                <w:szCs w:val="18"/>
              </w:rPr>
            </w:pPr>
            <w:r>
              <w:rPr>
                <w:rFonts w:cs="Arial"/>
                <w:b/>
                <w:sz w:val="18"/>
                <w:szCs w:val="18"/>
              </w:rPr>
              <w:t>$</w:t>
            </w:r>
            <w:r w:rsidR="00603CA2">
              <w:rPr>
                <w:rFonts w:cs="Arial"/>
                <w:b/>
                <w:sz w:val="18"/>
                <w:szCs w:val="18"/>
              </w:rPr>
              <w:t>346,625</w:t>
            </w:r>
          </w:p>
        </w:tc>
      </w:tr>
    </w:tbl>
    <w:p w14:paraId="72F60C0E" w14:textId="77777777" w:rsidR="00F927A1" w:rsidRDefault="00200697" w:rsidP="00200697">
      <w:pPr>
        <w:pStyle w:val="Heading2"/>
      </w:pPr>
      <w:bookmarkStart w:id="20" w:name="_Toc377313539"/>
      <w:r>
        <w:t>Cost of Services</w:t>
      </w:r>
      <w:bookmarkEnd w:id="20"/>
    </w:p>
    <w:p w14:paraId="72F60C10" w14:textId="027A6344" w:rsidR="00293B78" w:rsidRDefault="006332CF" w:rsidP="00380CEB">
      <w:pPr>
        <w:pStyle w:val="BodyText"/>
      </w:pPr>
      <w:r w:rsidRPr="00380CEB">
        <w:t>The table below describes the FAST implementation service costs by stage</w:t>
      </w:r>
      <w:r w:rsidR="00293B78" w:rsidRPr="00380CEB">
        <w:t>.</w:t>
      </w:r>
    </w:p>
    <w:p w14:paraId="6688C267" w14:textId="26F50911" w:rsidR="00E7796B" w:rsidRDefault="00E7796B" w:rsidP="00E7796B">
      <w:pPr>
        <w:pStyle w:val="Heading4"/>
      </w:pPr>
      <w:r>
        <w:t xml:space="preserve">Table </w:t>
      </w:r>
      <w:r w:rsidR="000220F0">
        <w:t>13</w:t>
      </w:r>
      <w:r>
        <w:t xml:space="preserve"> – FAST Deliverables Cost</w:t>
      </w:r>
    </w:p>
    <w:p w14:paraId="4E7A0504" w14:textId="77777777" w:rsidR="00E7796B" w:rsidRPr="00E7796B" w:rsidRDefault="00E7796B" w:rsidP="00E7796B">
      <w:pPr>
        <w:pStyle w:val="BodyText"/>
      </w:pPr>
    </w:p>
    <w:tbl>
      <w:tblPr>
        <w:tblStyle w:val="TableGrid"/>
        <w:tblW w:w="9108" w:type="dxa"/>
        <w:tblLook w:val="00A0" w:firstRow="1" w:lastRow="0" w:firstColumn="1" w:lastColumn="0" w:noHBand="0" w:noVBand="0"/>
      </w:tblPr>
      <w:tblGrid>
        <w:gridCol w:w="7038"/>
        <w:gridCol w:w="2070"/>
      </w:tblGrid>
      <w:tr w:rsidR="00293B78" w:rsidRPr="00E7796B" w14:paraId="72F60C13" w14:textId="77777777" w:rsidTr="00493235">
        <w:trPr>
          <w:trHeight w:val="70"/>
        </w:trPr>
        <w:tc>
          <w:tcPr>
            <w:tcW w:w="7038" w:type="dxa"/>
            <w:shd w:val="clear" w:color="auto" w:fill="BFBFBF" w:themeFill="background1" w:themeFillShade="BF"/>
            <w:vAlign w:val="center"/>
          </w:tcPr>
          <w:p w14:paraId="72F60C11" w14:textId="77777777" w:rsidR="00293B78" w:rsidRPr="00E7796B" w:rsidRDefault="00293B78" w:rsidP="00493235">
            <w:pPr>
              <w:pStyle w:val="BodyText"/>
              <w:spacing w:after="0"/>
              <w:rPr>
                <w:b/>
                <w:sz w:val="18"/>
                <w:szCs w:val="18"/>
              </w:rPr>
            </w:pPr>
            <w:r w:rsidRPr="00E7796B">
              <w:rPr>
                <w:b/>
                <w:sz w:val="18"/>
                <w:szCs w:val="18"/>
              </w:rPr>
              <w:t>Activity, Deliverable or Milestone</w:t>
            </w:r>
          </w:p>
        </w:tc>
        <w:tc>
          <w:tcPr>
            <w:tcW w:w="2070" w:type="dxa"/>
            <w:shd w:val="clear" w:color="auto" w:fill="BFBFBF" w:themeFill="background1" w:themeFillShade="BF"/>
            <w:vAlign w:val="center"/>
          </w:tcPr>
          <w:p w14:paraId="72F60C12" w14:textId="77777777" w:rsidR="00293B78" w:rsidRPr="00E7796B" w:rsidRDefault="00293B78" w:rsidP="00493235">
            <w:pPr>
              <w:pStyle w:val="BodyText"/>
              <w:spacing w:after="0"/>
              <w:jc w:val="right"/>
              <w:rPr>
                <w:b/>
                <w:sz w:val="18"/>
                <w:szCs w:val="18"/>
              </w:rPr>
            </w:pPr>
            <w:r w:rsidRPr="00E7796B">
              <w:rPr>
                <w:b/>
                <w:sz w:val="18"/>
                <w:szCs w:val="18"/>
              </w:rPr>
              <w:t>Cost</w:t>
            </w:r>
          </w:p>
        </w:tc>
      </w:tr>
      <w:tr w:rsidR="00293B78" w:rsidRPr="00E7796B" w14:paraId="72F60C16" w14:textId="77777777" w:rsidTr="00493235">
        <w:tc>
          <w:tcPr>
            <w:tcW w:w="7038" w:type="dxa"/>
            <w:vAlign w:val="center"/>
          </w:tcPr>
          <w:p w14:paraId="72F60C14" w14:textId="77777777" w:rsidR="00293B78" w:rsidRPr="00E7796B" w:rsidRDefault="00293B78" w:rsidP="00493235">
            <w:pPr>
              <w:widowControl w:val="0"/>
              <w:autoSpaceDE w:val="0"/>
              <w:autoSpaceDN w:val="0"/>
              <w:adjustRightInd w:val="0"/>
              <w:rPr>
                <w:rFonts w:cs="Arial"/>
                <w:sz w:val="18"/>
                <w:szCs w:val="18"/>
              </w:rPr>
            </w:pPr>
            <w:r w:rsidRPr="00E7796B">
              <w:rPr>
                <w:rFonts w:cs="Arial"/>
                <w:sz w:val="18"/>
                <w:szCs w:val="18"/>
              </w:rPr>
              <w:t xml:space="preserve">Stage 1: </w:t>
            </w:r>
            <w:r w:rsidR="000460C5" w:rsidRPr="00E7796B">
              <w:rPr>
                <w:rFonts w:cs="Arial"/>
                <w:sz w:val="18"/>
                <w:szCs w:val="18"/>
              </w:rPr>
              <w:t>Project Planning and Business Analysis</w:t>
            </w:r>
          </w:p>
        </w:tc>
        <w:tc>
          <w:tcPr>
            <w:tcW w:w="2070" w:type="dxa"/>
            <w:vAlign w:val="center"/>
          </w:tcPr>
          <w:p w14:paraId="72F60C15" w14:textId="77777777" w:rsidR="00293B78" w:rsidRPr="00E7796B" w:rsidRDefault="00293B78" w:rsidP="00493235">
            <w:pPr>
              <w:widowControl w:val="0"/>
              <w:autoSpaceDE w:val="0"/>
              <w:autoSpaceDN w:val="0"/>
              <w:adjustRightInd w:val="0"/>
              <w:jc w:val="right"/>
              <w:rPr>
                <w:rFonts w:cs="Arial"/>
                <w:sz w:val="18"/>
                <w:szCs w:val="18"/>
              </w:rPr>
            </w:pPr>
            <w:r w:rsidRPr="00E7796B">
              <w:rPr>
                <w:rFonts w:cs="Arial"/>
                <w:sz w:val="18"/>
                <w:szCs w:val="18"/>
              </w:rPr>
              <w:t>$</w:t>
            </w:r>
            <w:r w:rsidR="003875EB" w:rsidRPr="00E7796B">
              <w:rPr>
                <w:rFonts w:cs="Arial"/>
                <w:sz w:val="18"/>
                <w:szCs w:val="18"/>
              </w:rPr>
              <w:t>387,500</w:t>
            </w:r>
          </w:p>
        </w:tc>
      </w:tr>
      <w:tr w:rsidR="00293B78" w:rsidRPr="00E7796B" w14:paraId="72F60C19" w14:textId="77777777" w:rsidTr="00493235">
        <w:tc>
          <w:tcPr>
            <w:tcW w:w="7038" w:type="dxa"/>
            <w:vAlign w:val="center"/>
          </w:tcPr>
          <w:p w14:paraId="72F60C17" w14:textId="77777777" w:rsidR="00293B78" w:rsidRPr="00E7796B" w:rsidRDefault="003875EB" w:rsidP="00493235">
            <w:pPr>
              <w:widowControl w:val="0"/>
              <w:autoSpaceDE w:val="0"/>
              <w:autoSpaceDN w:val="0"/>
              <w:adjustRightInd w:val="0"/>
              <w:rPr>
                <w:rFonts w:cs="Arial"/>
                <w:sz w:val="18"/>
                <w:szCs w:val="18"/>
              </w:rPr>
            </w:pPr>
            <w:r w:rsidRPr="00E7796B">
              <w:rPr>
                <w:rFonts w:cs="Arial"/>
                <w:sz w:val="18"/>
                <w:szCs w:val="18"/>
              </w:rPr>
              <w:t>Stage 2: Installation and Configuration</w:t>
            </w:r>
          </w:p>
        </w:tc>
        <w:tc>
          <w:tcPr>
            <w:tcW w:w="2070" w:type="dxa"/>
            <w:vAlign w:val="center"/>
          </w:tcPr>
          <w:p w14:paraId="72F60C18" w14:textId="77777777" w:rsidR="00293B78" w:rsidRPr="00E7796B" w:rsidRDefault="003875EB" w:rsidP="00493235">
            <w:pPr>
              <w:widowControl w:val="0"/>
              <w:autoSpaceDE w:val="0"/>
              <w:autoSpaceDN w:val="0"/>
              <w:adjustRightInd w:val="0"/>
              <w:jc w:val="right"/>
              <w:rPr>
                <w:rFonts w:cs="Arial"/>
                <w:sz w:val="18"/>
                <w:szCs w:val="18"/>
              </w:rPr>
            </w:pPr>
            <w:r w:rsidRPr="00E7796B">
              <w:rPr>
                <w:rFonts w:cs="Arial"/>
                <w:sz w:val="18"/>
                <w:szCs w:val="18"/>
              </w:rPr>
              <w:t>$8,525,000</w:t>
            </w:r>
          </w:p>
        </w:tc>
      </w:tr>
      <w:tr w:rsidR="00293B78" w:rsidRPr="00E7796B" w14:paraId="72F60C1C" w14:textId="77777777" w:rsidTr="00493235">
        <w:tc>
          <w:tcPr>
            <w:tcW w:w="7038" w:type="dxa"/>
            <w:vAlign w:val="center"/>
          </w:tcPr>
          <w:p w14:paraId="72F60C1A" w14:textId="77777777" w:rsidR="00293B78" w:rsidRPr="00E7796B" w:rsidRDefault="003875EB" w:rsidP="00493235">
            <w:pPr>
              <w:widowControl w:val="0"/>
              <w:autoSpaceDE w:val="0"/>
              <w:autoSpaceDN w:val="0"/>
              <w:adjustRightInd w:val="0"/>
              <w:rPr>
                <w:rFonts w:cs="Arial"/>
                <w:sz w:val="18"/>
                <w:szCs w:val="18"/>
              </w:rPr>
            </w:pPr>
            <w:r w:rsidRPr="00E7796B">
              <w:rPr>
                <w:rFonts w:cs="Arial"/>
                <w:sz w:val="18"/>
                <w:szCs w:val="18"/>
              </w:rPr>
              <w:t>Stage 3: Testing</w:t>
            </w:r>
          </w:p>
        </w:tc>
        <w:tc>
          <w:tcPr>
            <w:tcW w:w="2070" w:type="dxa"/>
            <w:vAlign w:val="center"/>
          </w:tcPr>
          <w:p w14:paraId="72F60C1B" w14:textId="77777777" w:rsidR="00293B78" w:rsidRPr="00E7796B" w:rsidRDefault="003875EB" w:rsidP="00493235">
            <w:pPr>
              <w:widowControl w:val="0"/>
              <w:autoSpaceDE w:val="0"/>
              <w:autoSpaceDN w:val="0"/>
              <w:adjustRightInd w:val="0"/>
              <w:jc w:val="right"/>
              <w:rPr>
                <w:rFonts w:cs="Arial"/>
                <w:sz w:val="18"/>
                <w:szCs w:val="18"/>
              </w:rPr>
            </w:pPr>
            <w:r w:rsidRPr="00E7796B">
              <w:rPr>
                <w:rFonts w:cs="Arial"/>
                <w:sz w:val="18"/>
                <w:szCs w:val="18"/>
              </w:rPr>
              <w:t>$3,100,0</w:t>
            </w:r>
            <w:r w:rsidR="000460C5" w:rsidRPr="00E7796B">
              <w:rPr>
                <w:rFonts w:cs="Arial"/>
                <w:sz w:val="18"/>
                <w:szCs w:val="18"/>
              </w:rPr>
              <w:t>0</w:t>
            </w:r>
            <w:r w:rsidRPr="00E7796B">
              <w:rPr>
                <w:rFonts w:cs="Arial"/>
                <w:sz w:val="18"/>
                <w:szCs w:val="18"/>
              </w:rPr>
              <w:t>0</w:t>
            </w:r>
          </w:p>
        </w:tc>
      </w:tr>
      <w:tr w:rsidR="00293B78" w:rsidRPr="00E7796B" w14:paraId="72F60C1F" w14:textId="77777777" w:rsidTr="00493235">
        <w:tc>
          <w:tcPr>
            <w:tcW w:w="7038" w:type="dxa"/>
            <w:vAlign w:val="center"/>
          </w:tcPr>
          <w:p w14:paraId="72F60C1D" w14:textId="77777777" w:rsidR="00293B78" w:rsidRPr="00E7796B" w:rsidRDefault="003875EB" w:rsidP="00493235">
            <w:pPr>
              <w:widowControl w:val="0"/>
              <w:autoSpaceDE w:val="0"/>
              <w:autoSpaceDN w:val="0"/>
              <w:adjustRightInd w:val="0"/>
              <w:rPr>
                <w:rFonts w:cs="Arial"/>
                <w:sz w:val="18"/>
                <w:szCs w:val="18"/>
              </w:rPr>
            </w:pPr>
            <w:r w:rsidRPr="00E7796B">
              <w:rPr>
                <w:rFonts w:cs="Arial"/>
                <w:sz w:val="18"/>
                <w:szCs w:val="18"/>
              </w:rPr>
              <w:t>Stage 4: Training, Deployment, Go-Live and Warranty Period</w:t>
            </w:r>
          </w:p>
        </w:tc>
        <w:tc>
          <w:tcPr>
            <w:tcW w:w="2070" w:type="dxa"/>
            <w:vAlign w:val="center"/>
          </w:tcPr>
          <w:p w14:paraId="72F60C1E" w14:textId="77777777" w:rsidR="00293B78" w:rsidRPr="00E7796B" w:rsidRDefault="00293B78" w:rsidP="00493235">
            <w:pPr>
              <w:widowControl w:val="0"/>
              <w:autoSpaceDE w:val="0"/>
              <w:autoSpaceDN w:val="0"/>
              <w:adjustRightInd w:val="0"/>
              <w:jc w:val="right"/>
              <w:rPr>
                <w:rFonts w:cs="Arial"/>
                <w:sz w:val="18"/>
                <w:szCs w:val="18"/>
              </w:rPr>
            </w:pPr>
            <w:r w:rsidRPr="00E7796B">
              <w:rPr>
                <w:rFonts w:cs="Arial"/>
                <w:sz w:val="18"/>
                <w:szCs w:val="18"/>
              </w:rPr>
              <w:t>$</w:t>
            </w:r>
            <w:r w:rsidR="000460C5" w:rsidRPr="00E7796B">
              <w:rPr>
                <w:rFonts w:cs="Arial"/>
                <w:sz w:val="18"/>
                <w:szCs w:val="18"/>
              </w:rPr>
              <w:t>2,325,000</w:t>
            </w:r>
          </w:p>
        </w:tc>
      </w:tr>
      <w:tr w:rsidR="000460C5" w:rsidRPr="00E7796B" w14:paraId="72F60C22" w14:textId="77777777" w:rsidTr="00493235">
        <w:tc>
          <w:tcPr>
            <w:tcW w:w="7038" w:type="dxa"/>
            <w:vAlign w:val="center"/>
          </w:tcPr>
          <w:p w14:paraId="72F60C20" w14:textId="77777777" w:rsidR="000460C5" w:rsidRPr="00E7796B" w:rsidRDefault="000460C5" w:rsidP="00493235">
            <w:pPr>
              <w:widowControl w:val="0"/>
              <w:autoSpaceDE w:val="0"/>
              <w:autoSpaceDN w:val="0"/>
              <w:adjustRightInd w:val="0"/>
              <w:rPr>
                <w:rFonts w:cs="Arial"/>
                <w:sz w:val="18"/>
                <w:szCs w:val="18"/>
              </w:rPr>
            </w:pPr>
            <w:r w:rsidRPr="00E7796B">
              <w:rPr>
                <w:rFonts w:cs="Arial"/>
                <w:sz w:val="18"/>
                <w:szCs w:val="18"/>
              </w:rPr>
              <w:t>Stage 5: On-Going Project Management</w:t>
            </w:r>
          </w:p>
        </w:tc>
        <w:tc>
          <w:tcPr>
            <w:tcW w:w="2070" w:type="dxa"/>
            <w:vAlign w:val="center"/>
          </w:tcPr>
          <w:p w14:paraId="72F60C21" w14:textId="77777777" w:rsidR="000460C5" w:rsidRPr="00E7796B" w:rsidRDefault="000460C5" w:rsidP="00493235">
            <w:pPr>
              <w:widowControl w:val="0"/>
              <w:autoSpaceDE w:val="0"/>
              <w:autoSpaceDN w:val="0"/>
              <w:adjustRightInd w:val="0"/>
              <w:jc w:val="right"/>
              <w:rPr>
                <w:rFonts w:cs="Arial"/>
                <w:sz w:val="18"/>
                <w:szCs w:val="18"/>
              </w:rPr>
            </w:pPr>
            <w:r w:rsidRPr="00E7796B">
              <w:rPr>
                <w:rFonts w:cs="Arial"/>
                <w:sz w:val="18"/>
                <w:szCs w:val="18"/>
              </w:rPr>
              <w:t>$775,000</w:t>
            </w:r>
          </w:p>
        </w:tc>
      </w:tr>
      <w:tr w:rsidR="00293B78" w:rsidRPr="00E7796B" w14:paraId="72F60C25" w14:textId="77777777" w:rsidTr="00493235">
        <w:tc>
          <w:tcPr>
            <w:tcW w:w="7038" w:type="dxa"/>
            <w:vAlign w:val="center"/>
          </w:tcPr>
          <w:p w14:paraId="72F60C23" w14:textId="77777777" w:rsidR="00293B78" w:rsidRPr="00E7796B" w:rsidRDefault="000460C5" w:rsidP="00493235">
            <w:pPr>
              <w:widowControl w:val="0"/>
              <w:autoSpaceDE w:val="0"/>
              <w:autoSpaceDN w:val="0"/>
              <w:adjustRightInd w:val="0"/>
              <w:rPr>
                <w:rFonts w:cs="Arial"/>
                <w:sz w:val="18"/>
                <w:szCs w:val="18"/>
              </w:rPr>
            </w:pPr>
            <w:r w:rsidRPr="00E7796B">
              <w:rPr>
                <w:rFonts w:cs="Arial"/>
                <w:sz w:val="18"/>
                <w:szCs w:val="18"/>
              </w:rPr>
              <w:t>Stage 6: On-Going Operational Maintenance and Support</w:t>
            </w:r>
          </w:p>
        </w:tc>
        <w:tc>
          <w:tcPr>
            <w:tcW w:w="2070" w:type="dxa"/>
            <w:vAlign w:val="center"/>
          </w:tcPr>
          <w:p w14:paraId="72F60C24" w14:textId="77777777" w:rsidR="00293B78" w:rsidRPr="00E7796B" w:rsidRDefault="000460C5" w:rsidP="00493235">
            <w:pPr>
              <w:widowControl w:val="0"/>
              <w:autoSpaceDE w:val="0"/>
              <w:autoSpaceDN w:val="0"/>
              <w:adjustRightInd w:val="0"/>
              <w:jc w:val="right"/>
              <w:rPr>
                <w:rFonts w:cs="Arial"/>
                <w:sz w:val="18"/>
                <w:szCs w:val="18"/>
              </w:rPr>
            </w:pPr>
            <w:r w:rsidRPr="00E7796B">
              <w:rPr>
                <w:rFonts w:cs="Arial"/>
                <w:sz w:val="18"/>
                <w:szCs w:val="18"/>
              </w:rPr>
              <w:t>$387,500</w:t>
            </w:r>
          </w:p>
        </w:tc>
      </w:tr>
      <w:tr w:rsidR="00293B78" w:rsidRPr="00493235" w14:paraId="72F60C28" w14:textId="77777777" w:rsidTr="00493235">
        <w:tc>
          <w:tcPr>
            <w:tcW w:w="7038" w:type="dxa"/>
            <w:vAlign w:val="center"/>
          </w:tcPr>
          <w:p w14:paraId="72F60C26" w14:textId="77777777" w:rsidR="00293B78" w:rsidRPr="00E7796B" w:rsidRDefault="00293B78" w:rsidP="00493235">
            <w:pPr>
              <w:widowControl w:val="0"/>
              <w:autoSpaceDE w:val="0"/>
              <w:autoSpaceDN w:val="0"/>
              <w:adjustRightInd w:val="0"/>
              <w:rPr>
                <w:rFonts w:cs="Arial"/>
                <w:b/>
                <w:sz w:val="18"/>
                <w:szCs w:val="18"/>
              </w:rPr>
            </w:pPr>
            <w:r w:rsidRPr="00E7796B">
              <w:rPr>
                <w:rFonts w:cs="Arial"/>
                <w:b/>
                <w:sz w:val="18"/>
                <w:szCs w:val="18"/>
              </w:rPr>
              <w:t>Total</w:t>
            </w:r>
          </w:p>
        </w:tc>
        <w:tc>
          <w:tcPr>
            <w:tcW w:w="2070" w:type="dxa"/>
            <w:vAlign w:val="center"/>
          </w:tcPr>
          <w:p w14:paraId="72F60C27" w14:textId="77777777" w:rsidR="00293B78" w:rsidRPr="00E7796B" w:rsidRDefault="00D54BC2" w:rsidP="00493235">
            <w:pPr>
              <w:widowControl w:val="0"/>
              <w:autoSpaceDE w:val="0"/>
              <w:autoSpaceDN w:val="0"/>
              <w:adjustRightInd w:val="0"/>
              <w:jc w:val="right"/>
              <w:rPr>
                <w:rFonts w:cs="Arial"/>
                <w:b/>
                <w:sz w:val="18"/>
                <w:szCs w:val="18"/>
              </w:rPr>
            </w:pPr>
            <w:r w:rsidRPr="00E7796B">
              <w:rPr>
                <w:rFonts w:cs="Arial"/>
                <w:b/>
                <w:sz w:val="18"/>
                <w:szCs w:val="18"/>
              </w:rPr>
              <w:fldChar w:fldCharType="begin"/>
            </w:r>
            <w:r w:rsidRPr="00E7796B">
              <w:rPr>
                <w:rFonts w:cs="Arial"/>
                <w:b/>
                <w:sz w:val="18"/>
                <w:szCs w:val="18"/>
              </w:rPr>
              <w:instrText xml:space="preserve"> =SUM(ABOVE) \# "$#,##0" </w:instrText>
            </w:r>
            <w:r w:rsidRPr="00E7796B">
              <w:rPr>
                <w:rFonts w:cs="Arial"/>
                <w:b/>
                <w:sz w:val="18"/>
                <w:szCs w:val="18"/>
              </w:rPr>
              <w:fldChar w:fldCharType="separate"/>
            </w:r>
            <w:r w:rsidR="0040500C" w:rsidRPr="00E7796B">
              <w:rPr>
                <w:rFonts w:cs="Arial"/>
                <w:b/>
                <w:noProof/>
                <w:sz w:val="18"/>
                <w:szCs w:val="18"/>
              </w:rPr>
              <w:t>$</w:t>
            </w:r>
            <w:r w:rsidR="0040500C">
              <w:rPr>
                <w:rFonts w:cs="Arial"/>
                <w:b/>
                <w:noProof/>
                <w:sz w:val="18"/>
                <w:szCs w:val="18"/>
              </w:rPr>
              <w:t>15,500,000</w:t>
            </w:r>
            <w:r w:rsidRPr="00E7796B">
              <w:rPr>
                <w:rFonts w:cs="Arial"/>
                <w:b/>
                <w:sz w:val="18"/>
                <w:szCs w:val="18"/>
              </w:rPr>
              <w:fldChar w:fldCharType="end"/>
            </w:r>
          </w:p>
        </w:tc>
      </w:tr>
    </w:tbl>
    <w:p w14:paraId="6E5AE7E7" w14:textId="77777777" w:rsidR="002803D5" w:rsidRDefault="002803D5">
      <w:pPr>
        <w:rPr>
          <w:rFonts w:ascii="Trebuchet MS" w:hAnsi="Trebuchet MS" w:cs="Arial"/>
          <w:b/>
          <w:bCs/>
          <w:iCs/>
          <w:sz w:val="30"/>
          <w:szCs w:val="28"/>
        </w:rPr>
      </w:pPr>
      <w:r>
        <w:br w:type="page"/>
      </w:r>
    </w:p>
    <w:p w14:paraId="72F60C2B" w14:textId="42346030" w:rsidR="00C95FE8" w:rsidRDefault="00200697" w:rsidP="00200697">
      <w:pPr>
        <w:pStyle w:val="Heading2"/>
      </w:pPr>
      <w:bookmarkStart w:id="21" w:name="_Toc377313540"/>
      <w:r>
        <w:t>Additional Costs</w:t>
      </w:r>
      <w:bookmarkEnd w:id="21"/>
    </w:p>
    <w:p w14:paraId="72F60C2D" w14:textId="191939DC" w:rsidR="00C83074" w:rsidRDefault="004A3A9A" w:rsidP="00C95FE8">
      <w:pPr>
        <w:pStyle w:val="BodyText"/>
      </w:pPr>
      <w:r>
        <w:t>Based upon the FAST minimum VDT</w:t>
      </w:r>
      <w:r w:rsidR="00C83074">
        <w:t xml:space="preserve"> </w:t>
      </w:r>
      <w:r w:rsidR="003C1398">
        <w:t xml:space="preserve">project </w:t>
      </w:r>
      <w:r w:rsidR="00C83074">
        <w:t>staff</w:t>
      </w:r>
      <w:r w:rsidR="003C1398">
        <w:t>ing</w:t>
      </w:r>
      <w:r>
        <w:t xml:space="preserve"> </w:t>
      </w:r>
      <w:r w:rsidR="003C1398">
        <w:t>hours</w:t>
      </w:r>
      <w:r w:rsidR="00DC4D44">
        <w:t xml:space="preserve"> from the FAST RFP response</w:t>
      </w:r>
      <w:r w:rsidR="003C1398">
        <w:t xml:space="preserve"> and a </w:t>
      </w:r>
      <w:r w:rsidR="00AC3157">
        <w:t xml:space="preserve">VDT </w:t>
      </w:r>
      <w:r w:rsidR="003C1398">
        <w:t>estimated average rate</w:t>
      </w:r>
      <w:r w:rsidR="00AC3157">
        <w:t xml:space="preserve"> of $</w:t>
      </w:r>
      <w:r w:rsidR="00603CA2">
        <w:t xml:space="preserve">36.36 </w:t>
      </w:r>
      <w:r w:rsidR="00AC3157">
        <w:t>per hour</w:t>
      </w:r>
      <w:r w:rsidR="00603CA2">
        <w:t xml:space="preserve"> (value from Vermont </w:t>
      </w:r>
      <w:r w:rsidR="00603CA2" w:rsidRPr="00603CA2">
        <w:t>DHR's annual "Workforce Report"</w:t>
      </w:r>
      <w:r w:rsidR="00603CA2">
        <w:t>)</w:t>
      </w:r>
      <w:r w:rsidR="003C1398">
        <w:t>, the cost of VDT staff assigned to the project are computed below by stage</w:t>
      </w:r>
      <w:r w:rsidR="00AC3157">
        <w:t>.</w:t>
      </w:r>
    </w:p>
    <w:p w14:paraId="68C33B8A" w14:textId="77777777" w:rsidR="00380CEB" w:rsidRDefault="00380CEB" w:rsidP="00380CEB">
      <w:pPr>
        <w:pStyle w:val="BodyText"/>
      </w:pPr>
      <w:r>
        <w:t>The State’s proposed work effort for this project is divided into six major stages:</w:t>
      </w:r>
    </w:p>
    <w:p w14:paraId="5A2819C5" w14:textId="0971C26A" w:rsidR="00380CEB" w:rsidRDefault="00380CEB" w:rsidP="00D0646D">
      <w:pPr>
        <w:pStyle w:val="TableBullet"/>
        <w:numPr>
          <w:ilvl w:val="0"/>
          <w:numId w:val="0"/>
        </w:numPr>
        <w:ind w:left="216" w:hanging="216"/>
      </w:pPr>
      <w:r>
        <w:t>Stage 1: Project Planning and Business Analysis</w:t>
      </w:r>
      <w:r w:rsidR="00FD43A9">
        <w:t xml:space="preserve"> </w:t>
      </w:r>
      <w:r w:rsidR="00FD43A9" w:rsidRPr="00FD43A9">
        <w:rPr>
          <w:i/>
          <w:sz w:val="14"/>
        </w:rPr>
        <w:t>(note that no hours were estimated by FAST for this Stage)</w:t>
      </w:r>
    </w:p>
    <w:p w14:paraId="4F718171" w14:textId="3DEBCA86" w:rsidR="00380CEB" w:rsidRDefault="00380CEB" w:rsidP="00D0646D">
      <w:pPr>
        <w:pStyle w:val="TableBullet"/>
        <w:numPr>
          <w:ilvl w:val="0"/>
          <w:numId w:val="0"/>
        </w:numPr>
        <w:ind w:left="216" w:hanging="216"/>
      </w:pPr>
      <w:r>
        <w:t>Stage 2: Installation and Configuration</w:t>
      </w:r>
    </w:p>
    <w:p w14:paraId="507FB4F3" w14:textId="419D90C4" w:rsidR="00380CEB" w:rsidRDefault="00380CEB" w:rsidP="00D0646D">
      <w:pPr>
        <w:pStyle w:val="TableBullet"/>
        <w:numPr>
          <w:ilvl w:val="0"/>
          <w:numId w:val="0"/>
        </w:numPr>
        <w:ind w:left="216" w:hanging="216"/>
      </w:pPr>
      <w:r>
        <w:t>Stage 3: Testing</w:t>
      </w:r>
    </w:p>
    <w:p w14:paraId="4E4DB381" w14:textId="03C4D4FC" w:rsidR="00380CEB" w:rsidRDefault="00380CEB" w:rsidP="00D0646D">
      <w:pPr>
        <w:pStyle w:val="TableBullet"/>
        <w:numPr>
          <w:ilvl w:val="0"/>
          <w:numId w:val="0"/>
        </w:numPr>
        <w:ind w:left="216" w:hanging="216"/>
      </w:pPr>
      <w:r>
        <w:t>Stage 4: Training, Deployment, Go-Live, and Warranty Period</w:t>
      </w:r>
    </w:p>
    <w:p w14:paraId="15EC44EA" w14:textId="6D299AB1" w:rsidR="00380CEB" w:rsidRDefault="00380CEB" w:rsidP="00D0646D">
      <w:pPr>
        <w:pStyle w:val="TableBullet"/>
        <w:numPr>
          <w:ilvl w:val="0"/>
          <w:numId w:val="0"/>
        </w:numPr>
        <w:ind w:left="216" w:hanging="216"/>
      </w:pPr>
      <w:r>
        <w:t>Stage 5: On-Going Project Management</w:t>
      </w:r>
    </w:p>
    <w:p w14:paraId="72F60C2E" w14:textId="281AC5DB" w:rsidR="004A3A9A" w:rsidRDefault="00380CEB" w:rsidP="00D0646D">
      <w:pPr>
        <w:pStyle w:val="TableBullet"/>
        <w:numPr>
          <w:ilvl w:val="0"/>
          <w:numId w:val="0"/>
        </w:numPr>
        <w:ind w:left="216" w:hanging="216"/>
      </w:pPr>
      <w:r>
        <w:t>Stage 6: On-Going Operational Maintenance and Support</w:t>
      </w:r>
    </w:p>
    <w:p w14:paraId="594E8696" w14:textId="253B562C" w:rsidR="005C3ABC" w:rsidRDefault="005C3ABC" w:rsidP="00544F45">
      <w:pPr>
        <w:pStyle w:val="Heading4"/>
      </w:pPr>
      <w:r>
        <w:t xml:space="preserve">Table </w:t>
      </w:r>
      <w:r w:rsidR="00651685">
        <w:t xml:space="preserve">14 </w:t>
      </w:r>
      <w:r>
        <w:t xml:space="preserve">– FAST Proposed Vermont </w:t>
      </w:r>
      <w:r w:rsidR="00651685">
        <w:t>Project Staffing Hours and Costs</w:t>
      </w:r>
    </w:p>
    <w:p w14:paraId="4C5A6D78" w14:textId="77777777" w:rsidR="00D0646D" w:rsidRDefault="00D0646D" w:rsidP="00D0646D">
      <w:pPr>
        <w:pStyle w:val="TableBullet"/>
        <w:numPr>
          <w:ilvl w:val="0"/>
          <w:numId w:val="0"/>
        </w:numPr>
        <w:ind w:left="216" w:hanging="216"/>
      </w:pPr>
    </w:p>
    <w:p w14:paraId="3C7E30F5" w14:textId="2F509B29" w:rsidR="007718D7" w:rsidRDefault="00742D88" w:rsidP="00D0646D">
      <w:pPr>
        <w:pStyle w:val="TableBullet"/>
        <w:numPr>
          <w:ilvl w:val="0"/>
          <w:numId w:val="0"/>
        </w:numPr>
        <w:ind w:left="216" w:hanging="216"/>
      </w:pPr>
      <w:r w:rsidRPr="00742D88">
        <w:rPr>
          <w:noProof/>
        </w:rPr>
        <w:drawing>
          <wp:inline distT="0" distB="0" distL="0" distR="0" wp14:anchorId="1699DEDE" wp14:editId="3DC467CF">
            <wp:extent cx="5596255" cy="2638828"/>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6255" cy="2638828"/>
                    </a:xfrm>
                    <a:prstGeom prst="rect">
                      <a:avLst/>
                    </a:prstGeom>
                    <a:noFill/>
                    <a:ln>
                      <a:noFill/>
                    </a:ln>
                  </pic:spPr>
                </pic:pic>
              </a:graphicData>
            </a:graphic>
          </wp:inline>
        </w:drawing>
      </w:r>
    </w:p>
    <w:p w14:paraId="72F60C53" w14:textId="21A023B5" w:rsidR="004A3A9A" w:rsidRDefault="003C1398" w:rsidP="00C95FE8">
      <w:pPr>
        <w:pStyle w:val="BodyText"/>
        <w:rPr>
          <w:i/>
          <w:sz w:val="18"/>
        </w:rPr>
      </w:pPr>
      <w:r w:rsidRPr="00545647">
        <w:rPr>
          <w:i/>
          <w:sz w:val="18"/>
        </w:rPr>
        <w:t>These costs do</w:t>
      </w:r>
      <w:r w:rsidR="004A3A9A" w:rsidRPr="00545647">
        <w:rPr>
          <w:i/>
          <w:sz w:val="18"/>
        </w:rPr>
        <w:t xml:space="preserve"> n</w:t>
      </w:r>
      <w:r w:rsidR="00C83074" w:rsidRPr="00545647">
        <w:rPr>
          <w:i/>
          <w:sz w:val="18"/>
        </w:rPr>
        <w:t xml:space="preserve">ot include additional </w:t>
      </w:r>
      <w:r w:rsidRPr="00545647">
        <w:rPr>
          <w:i/>
          <w:sz w:val="18"/>
        </w:rPr>
        <w:t xml:space="preserve">VDT </w:t>
      </w:r>
      <w:r w:rsidR="00C83074" w:rsidRPr="00545647">
        <w:rPr>
          <w:i/>
          <w:sz w:val="18"/>
        </w:rPr>
        <w:t xml:space="preserve">staff </w:t>
      </w:r>
      <w:r w:rsidR="00AC2FD6" w:rsidRPr="00545647">
        <w:rPr>
          <w:i/>
          <w:sz w:val="18"/>
        </w:rPr>
        <w:t xml:space="preserve">for </w:t>
      </w:r>
      <w:r w:rsidR="00C83074" w:rsidRPr="00545647">
        <w:rPr>
          <w:i/>
          <w:sz w:val="18"/>
        </w:rPr>
        <w:t xml:space="preserve">defining business rules, testing, </w:t>
      </w:r>
      <w:r w:rsidR="00AC2FD6" w:rsidRPr="00545647">
        <w:rPr>
          <w:i/>
          <w:sz w:val="18"/>
        </w:rPr>
        <w:t xml:space="preserve">training and project support (per a call with FAST </w:t>
      </w:r>
      <w:r w:rsidR="00F52AAA" w:rsidRPr="00545647">
        <w:rPr>
          <w:i/>
          <w:sz w:val="18"/>
        </w:rPr>
        <w:t>Proposal signatory James Harrison</w:t>
      </w:r>
      <w:r w:rsidR="00AC2FD6" w:rsidRPr="00545647">
        <w:rPr>
          <w:i/>
          <w:sz w:val="18"/>
        </w:rPr>
        <w:t>)</w:t>
      </w:r>
      <w:r w:rsidR="002803D5" w:rsidRPr="00545647">
        <w:rPr>
          <w:i/>
          <w:sz w:val="18"/>
        </w:rPr>
        <w:t>.</w:t>
      </w:r>
    </w:p>
    <w:p w14:paraId="32CF4F96" w14:textId="011C1484" w:rsidR="00742D88" w:rsidRPr="00545647" w:rsidRDefault="00742D88" w:rsidP="00C95FE8">
      <w:pPr>
        <w:pStyle w:val="BodyText"/>
        <w:rPr>
          <w:i/>
          <w:sz w:val="18"/>
        </w:rPr>
      </w:pPr>
      <w:r>
        <w:rPr>
          <w:i/>
          <w:sz w:val="18"/>
        </w:rPr>
        <w:t>Note – While FAST proposed the resources in Table 14 above, Mathtech’s Independent Review Cost Benefit Analysis reflects a Full-Time State Project Manager (entitled “Implementation Project Director”) as well as an additional resource not shown above entitled Implementation QA Manager.</w:t>
      </w:r>
      <w:r w:rsidR="00744D8F">
        <w:rPr>
          <w:i/>
          <w:sz w:val="18"/>
        </w:rPr>
        <w:t xml:space="preserve">  The Implementation QA Manager </w:t>
      </w:r>
      <w:r w:rsidR="00744D8F" w:rsidRPr="00744D8F">
        <w:rPr>
          <w:i/>
          <w:sz w:val="18"/>
        </w:rPr>
        <w:t>will function as the overall Deliverable Quality Assurance and Contract Manager of the effort</w:t>
      </w:r>
      <w:r w:rsidR="00744D8F">
        <w:rPr>
          <w:i/>
          <w:sz w:val="18"/>
        </w:rPr>
        <w:t>.</w:t>
      </w:r>
    </w:p>
    <w:p w14:paraId="72F60C55" w14:textId="77777777" w:rsidR="000956DB" w:rsidRDefault="00200697" w:rsidP="00200697">
      <w:pPr>
        <w:pStyle w:val="Heading2"/>
      </w:pPr>
      <w:bookmarkStart w:id="22" w:name="_Toc377313541"/>
      <w:r>
        <w:t>Independent Review Findings</w:t>
      </w:r>
      <w:bookmarkEnd w:id="22"/>
    </w:p>
    <w:p w14:paraId="13D889C0" w14:textId="419D7686" w:rsidR="00991730" w:rsidRDefault="00AF6633" w:rsidP="00991730">
      <w:pPr>
        <w:pStyle w:val="Heading5"/>
      </w:pPr>
      <w:bookmarkStart w:id="23" w:name="_Ref372516960"/>
      <w:r w:rsidRPr="00991730">
        <w:t>Finding</w:t>
      </w:r>
      <w:r w:rsidR="00EE2243">
        <w:t xml:space="preserve"> 1</w:t>
      </w:r>
      <w:r w:rsidRPr="00991730">
        <w:t>: FAST project</w:t>
      </w:r>
      <w:r w:rsidR="00B96562" w:rsidRPr="00991730">
        <w:t>ion</w:t>
      </w:r>
      <w:r w:rsidRPr="00991730">
        <w:t>s of VDT staffing levels</w:t>
      </w:r>
      <w:r w:rsidR="00A36194" w:rsidRPr="00991730">
        <w:t xml:space="preserve"> are low</w:t>
      </w:r>
      <w:r w:rsidRPr="00991730">
        <w:t>.</w:t>
      </w:r>
      <w:bookmarkEnd w:id="23"/>
      <w:r w:rsidR="002803D5" w:rsidRPr="00991730">
        <w:t xml:space="preserve">  </w:t>
      </w:r>
    </w:p>
    <w:p w14:paraId="72F60C59" w14:textId="3207D712" w:rsidR="00AF6633" w:rsidRPr="00991730" w:rsidRDefault="00AF6633" w:rsidP="00991730">
      <w:pPr>
        <w:pStyle w:val="BodyText"/>
      </w:pPr>
      <w:r w:rsidRPr="00991730">
        <w:t>The VDT staff projections provided in the FAST RFP response are base</w:t>
      </w:r>
      <w:r w:rsidR="00B96562" w:rsidRPr="00991730">
        <w:t>d</w:t>
      </w:r>
      <w:r w:rsidRPr="00991730">
        <w:t xml:space="preserve"> upon a minimum number of personnel that </w:t>
      </w:r>
      <w:r w:rsidR="00842BA1" w:rsidRPr="00991730">
        <w:t xml:space="preserve">FAST recommends </w:t>
      </w:r>
      <w:r w:rsidRPr="00991730">
        <w:t xml:space="preserve">be assigned to the project.  </w:t>
      </w:r>
      <w:r w:rsidR="00DD693C" w:rsidRPr="00991730">
        <w:t>Per Mathtech’s discussion with FAST, s</w:t>
      </w:r>
      <w:r w:rsidR="002B0E11" w:rsidRPr="00991730">
        <w:t xml:space="preserve">uch estimates </w:t>
      </w:r>
      <w:r w:rsidR="00DD693C" w:rsidRPr="00991730">
        <w:t>are not all-inclusive of all staff time required.  Because the VDT Staffing Cost estimates are based upon those hours, they should be revisited and finalized bef</w:t>
      </w:r>
      <w:r w:rsidR="00E00860" w:rsidRPr="00991730">
        <w:t>ore project commencement.</w:t>
      </w:r>
      <w:r w:rsidR="002803D5" w:rsidRPr="00991730">
        <w:t xml:space="preserve">  </w:t>
      </w:r>
      <w:r w:rsidR="00E00860" w:rsidRPr="00991730">
        <w:rPr>
          <w:b/>
          <w:i/>
        </w:rPr>
        <w:t xml:space="preserve">(Maps to Risks </w:t>
      </w:r>
      <w:r w:rsidR="007C725B">
        <w:rPr>
          <w:b/>
          <w:i/>
        </w:rPr>
        <w:t>R</w:t>
      </w:r>
      <w:r w:rsidR="00E00860" w:rsidRPr="00991730">
        <w:rPr>
          <w:b/>
          <w:i/>
        </w:rPr>
        <w:t xml:space="preserve">5, </w:t>
      </w:r>
      <w:r w:rsidR="007C725B">
        <w:rPr>
          <w:b/>
          <w:i/>
        </w:rPr>
        <w:t>R</w:t>
      </w:r>
      <w:r w:rsidR="00E00860" w:rsidRPr="00991730">
        <w:rPr>
          <w:b/>
          <w:i/>
        </w:rPr>
        <w:t xml:space="preserve">6, </w:t>
      </w:r>
      <w:r w:rsidR="007C725B">
        <w:rPr>
          <w:b/>
          <w:i/>
        </w:rPr>
        <w:t>R</w:t>
      </w:r>
      <w:r w:rsidR="00E00860" w:rsidRPr="00991730">
        <w:rPr>
          <w:b/>
          <w:i/>
        </w:rPr>
        <w:t>7)</w:t>
      </w:r>
    </w:p>
    <w:p w14:paraId="4A284A09" w14:textId="50D8BFAB" w:rsidR="00991730" w:rsidRDefault="00D0646D" w:rsidP="00991730">
      <w:pPr>
        <w:pStyle w:val="Heading5"/>
      </w:pPr>
      <w:bookmarkStart w:id="24" w:name="_Ref372516970"/>
      <w:r w:rsidRPr="00D0646D">
        <w:t>Finding</w:t>
      </w:r>
      <w:r w:rsidR="00EE2243">
        <w:t xml:space="preserve"> 2</w:t>
      </w:r>
      <w:r w:rsidRPr="00D0646D">
        <w:t xml:space="preserve">:  Project Director Costs are based on an </w:t>
      </w:r>
      <w:r w:rsidR="00A36194">
        <w:t xml:space="preserve">assumption that an </w:t>
      </w:r>
      <w:r w:rsidRPr="00D0646D">
        <w:t>internal resource</w:t>
      </w:r>
      <w:r w:rsidR="00A36194">
        <w:t xml:space="preserve"> will be hired at the same salary level as other VDT staff members</w:t>
      </w:r>
      <w:r w:rsidRPr="00D0646D">
        <w:t>.</w:t>
      </w:r>
      <w:bookmarkEnd w:id="24"/>
    </w:p>
    <w:p w14:paraId="52CDFE9E" w14:textId="22759562" w:rsidR="00DD693C" w:rsidRPr="00991730" w:rsidRDefault="00DD693C" w:rsidP="00991730">
      <w:pPr>
        <w:pStyle w:val="BodyText"/>
      </w:pPr>
      <w:r w:rsidRPr="00991730">
        <w:t xml:space="preserve">VDT cost estimates for Project Management (Project Director) are based upon an assumption the Project Director will be hired as a full-time VDT resource at an hourly cost equivalent to the other VDT staff required for implementation.  To be successful, VDT requires a Project Director with experience implementing large-scale operational and technology transformation projects in state government (ideally one with ITS experience).  </w:t>
      </w:r>
      <w:r w:rsidR="00744D8F">
        <w:t xml:space="preserve">Mathtech’s Cost Benefit Analysis includes </w:t>
      </w:r>
      <w:r w:rsidRPr="00991730">
        <w:t>an alternate estimate based upon the possibility that VDT may not find a Project Director of the right skillset available at the current cost estimate.</w:t>
      </w:r>
      <w:r w:rsidR="00E00860" w:rsidRPr="00991730">
        <w:t xml:space="preserve">  </w:t>
      </w:r>
      <w:r w:rsidR="00E00860" w:rsidRPr="00991730">
        <w:rPr>
          <w:b/>
          <w:i/>
        </w:rPr>
        <w:t xml:space="preserve">(Maps to Risk </w:t>
      </w:r>
      <w:r w:rsidR="007C725B">
        <w:rPr>
          <w:b/>
          <w:i/>
        </w:rPr>
        <w:t>R</w:t>
      </w:r>
      <w:r w:rsidR="00E00860" w:rsidRPr="00991730">
        <w:rPr>
          <w:b/>
          <w:i/>
        </w:rPr>
        <w:t>8)</w:t>
      </w:r>
    </w:p>
    <w:p w14:paraId="28E96CEF" w14:textId="088E62AE" w:rsidR="00991730" w:rsidRDefault="00AB0F3F" w:rsidP="00991730">
      <w:pPr>
        <w:pStyle w:val="Heading5"/>
      </w:pPr>
      <w:bookmarkStart w:id="25" w:name="_Ref372517009"/>
      <w:r w:rsidRPr="00263BF7">
        <w:t>Finding</w:t>
      </w:r>
      <w:r w:rsidR="00EE2243">
        <w:t xml:space="preserve"> </w:t>
      </w:r>
      <w:r w:rsidR="008F360D">
        <w:t>3</w:t>
      </w:r>
      <w:r w:rsidRPr="00263BF7">
        <w:t xml:space="preserve">: VDT has based </w:t>
      </w:r>
      <w:r w:rsidR="00263BF7" w:rsidRPr="00263BF7">
        <w:t>Maintenance and Support</w:t>
      </w:r>
      <w:r w:rsidRPr="00263BF7">
        <w:t xml:space="preserve"> cost estimates based on FAST’s high</w:t>
      </w:r>
      <w:r w:rsidR="00263BF7" w:rsidRPr="00263BF7">
        <w:t>est level (Level 3) available.</w:t>
      </w:r>
      <w:bookmarkEnd w:id="25"/>
      <w:r w:rsidR="00263BF7">
        <w:t xml:space="preserve">  </w:t>
      </w:r>
    </w:p>
    <w:p w14:paraId="00E7391E" w14:textId="1E04DCED" w:rsidR="00AB0F3F" w:rsidRDefault="00263BF7" w:rsidP="000956DB">
      <w:pPr>
        <w:pStyle w:val="BodyText"/>
      </w:pPr>
      <w:r>
        <w:t>VDT should ensure that this level is required as Levels 2 and 1 would represent a reduction in overall cost.</w:t>
      </w:r>
    </w:p>
    <w:p w14:paraId="3B9C2A3E" w14:textId="596C62C9" w:rsidR="00991730" w:rsidRDefault="008B7BA0" w:rsidP="00991730">
      <w:pPr>
        <w:pStyle w:val="Heading5"/>
      </w:pPr>
      <w:bookmarkStart w:id="26" w:name="_Ref372517012"/>
      <w:r w:rsidRPr="00842BA1">
        <w:t>Finding</w:t>
      </w:r>
      <w:r w:rsidR="00EE2243">
        <w:t xml:space="preserve"> </w:t>
      </w:r>
      <w:r w:rsidR="008F360D">
        <w:t>4</w:t>
      </w:r>
      <w:r w:rsidRPr="00842BA1">
        <w:t>: Additional hardware, software and peripherals</w:t>
      </w:r>
      <w:r w:rsidR="00A36194">
        <w:t xml:space="preserve"> are not included in the FAST proposal and not included in the VDT Total Cost of Ownership</w:t>
      </w:r>
      <w:r w:rsidRPr="00842BA1">
        <w:t>.</w:t>
      </w:r>
      <w:bookmarkEnd w:id="26"/>
      <w:r>
        <w:t xml:space="preserve">  </w:t>
      </w:r>
    </w:p>
    <w:p w14:paraId="730646C4" w14:textId="710D6490" w:rsidR="008B7BA0" w:rsidRDefault="008B7BA0" w:rsidP="000956DB">
      <w:pPr>
        <w:pStyle w:val="BodyText"/>
      </w:pPr>
      <w:r>
        <w:t>FAST’s proposal does not include costs associated with workstations, workstation operating system software, printers, scanners, or related equipment</w:t>
      </w:r>
      <w:r w:rsidR="00842BA1">
        <w:t xml:space="preserve"> that VDT may need during or after ITS implementation</w:t>
      </w:r>
      <w:r>
        <w:t xml:space="preserve">.  VDT’s Total Cost of Ownership </w:t>
      </w:r>
      <w:r w:rsidR="00842BA1">
        <w:t xml:space="preserve">of the ITS does not currently </w:t>
      </w:r>
      <w:r>
        <w:t xml:space="preserve">include any costs associated with these items.  </w:t>
      </w:r>
    </w:p>
    <w:p w14:paraId="6EEE1E4A" w14:textId="2E168DFD" w:rsidR="00991730" w:rsidRDefault="00991730" w:rsidP="00991730">
      <w:pPr>
        <w:pStyle w:val="Heading5"/>
      </w:pPr>
      <w:bookmarkStart w:id="27" w:name="_Ref372517017"/>
      <w:r w:rsidRPr="00991730">
        <w:t>Finding</w:t>
      </w:r>
      <w:r w:rsidR="00EE2243">
        <w:t xml:space="preserve"> </w:t>
      </w:r>
      <w:r w:rsidR="008F360D">
        <w:t>5</w:t>
      </w:r>
      <w:r w:rsidRPr="00991730">
        <w:t>: FAST rates for future work are equivalent regardless of the role of the resource.</w:t>
      </w:r>
      <w:bookmarkEnd w:id="27"/>
      <w:r w:rsidRPr="00991730">
        <w:t xml:space="preserve">  </w:t>
      </w:r>
    </w:p>
    <w:p w14:paraId="4BE1AD7D" w14:textId="7FB754F2" w:rsidR="00991730" w:rsidRDefault="00991730" w:rsidP="000956DB">
      <w:pPr>
        <w:pStyle w:val="BodyText"/>
      </w:pPr>
      <w:r>
        <w:t xml:space="preserve">It is customary to provide different rates for different skillsets within a project.  FAST has chosen to provide a single rate for all roles, </w:t>
      </w:r>
      <w:r w:rsidR="000B75BC">
        <w:t xml:space="preserve">ranging </w:t>
      </w:r>
      <w:r>
        <w:t>from Project Manager to Programmer / Analyst.  VDT should investigate negotiation of this to arrive at a more conventional rate structure for future work.</w:t>
      </w:r>
    </w:p>
    <w:p w14:paraId="656F46A8" w14:textId="77777777" w:rsidR="006D5E8C" w:rsidRDefault="006D5E8C" w:rsidP="000956DB">
      <w:pPr>
        <w:pStyle w:val="BodyText"/>
      </w:pPr>
    </w:p>
    <w:p w14:paraId="72F60C5F" w14:textId="77777777" w:rsidR="00553C16" w:rsidRDefault="00200697" w:rsidP="00200697">
      <w:pPr>
        <w:pStyle w:val="Heading1"/>
      </w:pPr>
      <w:bookmarkStart w:id="28" w:name="_Toc377313542"/>
      <w:r>
        <w:t>Technical Architecture Review</w:t>
      </w:r>
      <w:bookmarkEnd w:id="28"/>
    </w:p>
    <w:p w14:paraId="72F60C60" w14:textId="0BB0811E" w:rsidR="00200697" w:rsidRPr="00553C16" w:rsidRDefault="00A13F8B" w:rsidP="00553C16">
      <w:pPr>
        <w:widowControl w:val="0"/>
        <w:autoSpaceDE w:val="0"/>
        <w:autoSpaceDN w:val="0"/>
        <w:adjustRightInd w:val="0"/>
      </w:pPr>
      <w:r>
        <w:t xml:space="preserve">In January of 2013, the Department of Information and Innovation (DII) published a 5 year </w:t>
      </w:r>
      <w:r w:rsidR="0051590D">
        <w:t>S</w:t>
      </w:r>
      <w:r>
        <w:t xml:space="preserve">trategic </w:t>
      </w:r>
      <w:r w:rsidR="0051590D">
        <w:t>P</w:t>
      </w:r>
      <w:r>
        <w:t>lan.  The plan was entitled “</w:t>
      </w:r>
      <w:r w:rsidRPr="00A13F8B">
        <w:t>Creating Better Opportunities in Vermont: Supporting Tough Issues with the Right Information and Technology</w:t>
      </w:r>
      <w:r>
        <w:t>” and identified IT strategic principles that will guide the technology workforce.  The procurement and implementation of a new Integrated Tax System should be in alignment with those principles to forward DII</w:t>
      </w:r>
      <w:r w:rsidR="0051590D">
        <w:t>’s</w:t>
      </w:r>
      <w:r>
        <w:t xml:space="preserve"> mission of improving State effectiveness and productivity.</w:t>
      </w:r>
    </w:p>
    <w:p w14:paraId="72F60C61" w14:textId="77777777" w:rsidR="00E97265" w:rsidRDefault="00200697" w:rsidP="00200697">
      <w:pPr>
        <w:pStyle w:val="Heading2"/>
      </w:pPr>
      <w:bookmarkStart w:id="29" w:name="_Toc377313543"/>
      <w:r>
        <w:t>Support for State’s Strategic Enterprise Systems Direction</w:t>
      </w:r>
      <w:bookmarkEnd w:id="29"/>
    </w:p>
    <w:p w14:paraId="72F60C63" w14:textId="16D76219" w:rsidR="00A13F8B" w:rsidRDefault="00A13F8B" w:rsidP="00380CEB">
      <w:pPr>
        <w:pStyle w:val="BodyText"/>
      </w:pPr>
      <w:r>
        <w:rPr>
          <w:szCs w:val="22"/>
        </w:rPr>
        <w:t>Based on years of government experience and research, the principles listed below are the foundation on which the DII strategic plan is built.  Following each principle</w:t>
      </w:r>
      <w:r w:rsidR="00F80418">
        <w:rPr>
          <w:szCs w:val="22"/>
        </w:rPr>
        <w:t>,</w:t>
      </w:r>
      <w:r>
        <w:rPr>
          <w:szCs w:val="22"/>
        </w:rPr>
        <w:t xml:space="preserve"> </w:t>
      </w:r>
      <w:r w:rsidR="00FC53FB">
        <w:rPr>
          <w:szCs w:val="22"/>
        </w:rPr>
        <w:t xml:space="preserve">Mathtech has included analysis and </w:t>
      </w:r>
      <w:r w:rsidR="0051590D">
        <w:rPr>
          <w:szCs w:val="22"/>
        </w:rPr>
        <w:t xml:space="preserve">selected </w:t>
      </w:r>
      <w:r w:rsidR="00F80418">
        <w:rPr>
          <w:szCs w:val="22"/>
        </w:rPr>
        <w:t xml:space="preserve">narratives from the FAST </w:t>
      </w:r>
      <w:r w:rsidR="00FC53FB">
        <w:rPr>
          <w:szCs w:val="22"/>
        </w:rPr>
        <w:t xml:space="preserve">Proposal to address </w:t>
      </w:r>
      <w:r w:rsidR="001F1262">
        <w:rPr>
          <w:szCs w:val="22"/>
        </w:rPr>
        <w:t>alignment with the</w:t>
      </w:r>
      <w:r w:rsidR="00F80418">
        <w:rPr>
          <w:szCs w:val="22"/>
        </w:rPr>
        <w:t xml:space="preserve"> </w:t>
      </w:r>
      <w:r w:rsidR="0051590D">
        <w:rPr>
          <w:szCs w:val="22"/>
        </w:rPr>
        <w:t xml:space="preserve">specific </w:t>
      </w:r>
      <w:r w:rsidR="00F80418">
        <w:rPr>
          <w:szCs w:val="22"/>
        </w:rPr>
        <w:t>principle.</w:t>
      </w:r>
    </w:p>
    <w:p w14:paraId="72F60C65" w14:textId="77777777" w:rsidR="008F4B6B" w:rsidRDefault="00E97265" w:rsidP="00380CEB">
      <w:pPr>
        <w:pStyle w:val="BodyText"/>
        <w:rPr>
          <w:i/>
          <w:szCs w:val="22"/>
        </w:rPr>
      </w:pPr>
      <w:r w:rsidRPr="00F80418">
        <w:rPr>
          <w:b/>
          <w:i/>
          <w:szCs w:val="22"/>
        </w:rPr>
        <w:t>Levera</w:t>
      </w:r>
      <w:r w:rsidR="00F80418" w:rsidRPr="00F80418">
        <w:rPr>
          <w:b/>
          <w:i/>
          <w:szCs w:val="22"/>
        </w:rPr>
        <w:t xml:space="preserve">ge IT successes in other states: </w:t>
      </w:r>
      <w:r w:rsidRPr="00F80418">
        <w:rPr>
          <w:i/>
          <w:szCs w:val="22"/>
        </w:rPr>
        <w:t>The best way to do this is to leverage successes gained elsewhere in Government and industry. In this plan, the new methods we will adopt will not have been invented from scratch in Vermont, but instead developed and tested in other states and in markets througho</w:t>
      </w:r>
      <w:r w:rsidR="00F80418" w:rsidRPr="00F80418">
        <w:rPr>
          <w:i/>
          <w:szCs w:val="22"/>
        </w:rPr>
        <w:t>ut the world. While conditions in Vermont are always unique to some degree, we can suc</w:t>
      </w:r>
      <w:r w:rsidRPr="00F80418">
        <w:rPr>
          <w:i/>
          <w:szCs w:val="22"/>
        </w:rPr>
        <w:t xml:space="preserve">ceed more readily when we adapt with common sense and discipline the IT successes of others. </w:t>
      </w:r>
    </w:p>
    <w:p w14:paraId="7D9E7802" w14:textId="52245D66" w:rsidR="006D5E8C" w:rsidRPr="006D5E8C" w:rsidRDefault="006D5E8C" w:rsidP="006D5E8C">
      <w:pPr>
        <w:pStyle w:val="BodyText"/>
      </w:pPr>
      <w:r>
        <w:t xml:space="preserve">Mathtech’s analysis is that FAST’s ITS has been implemented in many state agencies successfully.  FAST maintains multiple positive references from State Departments of Revenue and Taxation and will be able to provide insight into the successes of other states.  </w:t>
      </w:r>
    </w:p>
    <w:p w14:paraId="69B59BB1" w14:textId="77777777" w:rsidR="00380CEB" w:rsidRPr="00380CEB" w:rsidRDefault="00380CEB" w:rsidP="00FC53FB">
      <w:pPr>
        <w:pStyle w:val="BodyText"/>
        <w:ind w:left="720"/>
        <w:rPr>
          <w:b/>
          <w:i/>
          <w:iCs/>
          <w:color w:val="0000FF"/>
          <w:sz w:val="20"/>
        </w:rPr>
      </w:pPr>
      <w:r w:rsidRPr="00380CEB">
        <w:rPr>
          <w:b/>
          <w:i/>
          <w:iCs/>
          <w:color w:val="0000FF"/>
          <w:sz w:val="20"/>
        </w:rPr>
        <w:t>From the FAST Proposal:</w:t>
      </w:r>
    </w:p>
    <w:p w14:paraId="72F60C67" w14:textId="77777777" w:rsidR="008F4B6B" w:rsidRPr="00380CEB" w:rsidRDefault="008F4B6B" w:rsidP="00FC53FB">
      <w:pPr>
        <w:pStyle w:val="BodyText"/>
        <w:ind w:left="720"/>
        <w:rPr>
          <w:i/>
          <w:iCs/>
          <w:color w:val="0000FF"/>
          <w:sz w:val="20"/>
        </w:rPr>
      </w:pPr>
      <w:r w:rsidRPr="00380CEB">
        <w:rPr>
          <w:i/>
          <w:iCs/>
          <w:color w:val="0000FF"/>
          <w:sz w:val="20"/>
        </w:rPr>
        <w:t>Since 1998, Fast Enterprises, LLC (FAST) has worked with local, state/provincial, and</w:t>
      </w:r>
      <w:r w:rsidR="00F80418" w:rsidRPr="00380CEB">
        <w:rPr>
          <w:i/>
          <w:iCs/>
          <w:color w:val="0000FF"/>
          <w:sz w:val="20"/>
        </w:rPr>
        <w:t xml:space="preserve"> </w:t>
      </w:r>
      <w:r w:rsidRPr="00380CEB">
        <w:rPr>
          <w:i/>
          <w:iCs/>
          <w:color w:val="0000FF"/>
          <w:sz w:val="20"/>
        </w:rPr>
        <w:t>national governments to implement systems used to administer a wide variety of government</w:t>
      </w:r>
      <w:r w:rsidR="00F80418" w:rsidRPr="00380CEB">
        <w:rPr>
          <w:i/>
          <w:iCs/>
          <w:color w:val="0000FF"/>
          <w:sz w:val="20"/>
        </w:rPr>
        <w:t xml:space="preserve"> </w:t>
      </w:r>
      <w:r w:rsidRPr="00380CEB">
        <w:rPr>
          <w:i/>
          <w:iCs/>
          <w:color w:val="0000FF"/>
          <w:sz w:val="20"/>
        </w:rPr>
        <w:t>programs. FAST has nearly 450 professionals dedicated to meeting our clients’</w:t>
      </w:r>
      <w:r w:rsidR="00F80418" w:rsidRPr="00380CEB">
        <w:rPr>
          <w:i/>
          <w:iCs/>
          <w:color w:val="0000FF"/>
          <w:sz w:val="20"/>
        </w:rPr>
        <w:t xml:space="preserve"> business needs. Their consulting team</w:t>
      </w:r>
      <w:r w:rsidRPr="00380CEB">
        <w:rPr>
          <w:i/>
          <w:iCs/>
          <w:color w:val="0000FF"/>
          <w:sz w:val="20"/>
        </w:rPr>
        <w:t xml:space="preserve"> have completed or are engaged in projects for 22 state agencies, three Canadian provinces,</w:t>
      </w:r>
      <w:r w:rsidR="00F80418" w:rsidRPr="00380CEB">
        <w:rPr>
          <w:i/>
          <w:iCs/>
          <w:color w:val="0000FF"/>
          <w:sz w:val="20"/>
        </w:rPr>
        <w:t xml:space="preserve"> </w:t>
      </w:r>
      <w:r w:rsidRPr="00380CEB">
        <w:rPr>
          <w:i/>
          <w:iCs/>
          <w:color w:val="0000FF"/>
          <w:sz w:val="20"/>
        </w:rPr>
        <w:t>five local governments, and</w:t>
      </w:r>
      <w:r w:rsidR="00F80418" w:rsidRPr="00380CEB">
        <w:rPr>
          <w:i/>
          <w:iCs/>
          <w:color w:val="0000FF"/>
          <w:sz w:val="20"/>
        </w:rPr>
        <w:t xml:space="preserve"> four countries.</w:t>
      </w:r>
    </w:p>
    <w:p w14:paraId="72F60C69" w14:textId="77777777" w:rsidR="001F1262" w:rsidRPr="00380CEB" w:rsidRDefault="001F1262" w:rsidP="00FC53FB">
      <w:pPr>
        <w:pStyle w:val="BodyText"/>
        <w:ind w:left="720"/>
        <w:rPr>
          <w:i/>
          <w:iCs/>
          <w:color w:val="0000FF"/>
          <w:sz w:val="20"/>
        </w:rPr>
      </w:pPr>
      <w:r w:rsidRPr="00380CEB">
        <w:rPr>
          <w:i/>
          <w:iCs/>
          <w:color w:val="0000FF"/>
          <w:sz w:val="20"/>
        </w:rPr>
        <w:t xml:space="preserve">FAST’s GenTax® integrated tax software is the first commercial off-the-shelf (COTS) software designed specifically for tax administration, and the only COTS software processing personal income tax in the United States. Now in its ninth version in 15 years, GenTax is the most widely used COTS integrated tax software. Since its release in 1998, 30 government agencies have chosen GenTax as their integrated tax solution. GenTax is used by 16,000 government employees to administer over 900 account types for tax, fee, and license programs that serve a combined population of more than 106 million. </w:t>
      </w:r>
    </w:p>
    <w:p w14:paraId="72F60C6B" w14:textId="77777777" w:rsidR="00E97265" w:rsidRPr="00380CEB" w:rsidRDefault="00D319F7" w:rsidP="00FC53FB">
      <w:pPr>
        <w:pStyle w:val="BodyText"/>
        <w:ind w:left="720"/>
        <w:rPr>
          <w:i/>
          <w:iCs/>
          <w:color w:val="0000FF"/>
          <w:sz w:val="20"/>
        </w:rPr>
      </w:pPr>
      <w:r w:rsidRPr="00380CEB">
        <w:rPr>
          <w:i/>
          <w:iCs/>
          <w:color w:val="0000FF"/>
          <w:sz w:val="20"/>
        </w:rPr>
        <w:t>The table below illustrates the U.S. state tax</w:t>
      </w:r>
      <w:r w:rsidR="001F1262" w:rsidRPr="00380CEB">
        <w:rPr>
          <w:i/>
          <w:iCs/>
          <w:color w:val="0000FF"/>
          <w:sz w:val="20"/>
        </w:rPr>
        <w:t xml:space="preserve"> </w:t>
      </w:r>
      <w:r w:rsidRPr="00380CEB">
        <w:rPr>
          <w:i/>
          <w:iCs/>
          <w:color w:val="0000FF"/>
          <w:sz w:val="20"/>
        </w:rPr>
        <w:t>and revenue agencies that are in production with GenTax. For each state tax agency, the table indicates</w:t>
      </w:r>
      <w:r w:rsidR="001F1262" w:rsidRPr="00380CEB">
        <w:rPr>
          <w:i/>
          <w:iCs/>
          <w:color w:val="0000FF"/>
          <w:sz w:val="20"/>
        </w:rPr>
        <w:t xml:space="preserve"> </w:t>
      </w:r>
      <w:r w:rsidRPr="00380CEB">
        <w:rPr>
          <w:i/>
          <w:iCs/>
          <w:color w:val="0000FF"/>
          <w:sz w:val="20"/>
        </w:rPr>
        <w:t>the major integrated tax functions/processes that are in production, the number of years that major tax</w:t>
      </w:r>
      <w:r w:rsidR="001F1262" w:rsidRPr="00380CEB">
        <w:rPr>
          <w:i/>
          <w:iCs/>
          <w:color w:val="0000FF"/>
          <w:sz w:val="20"/>
        </w:rPr>
        <w:t xml:space="preserve"> </w:t>
      </w:r>
      <w:r w:rsidRPr="00380CEB">
        <w:rPr>
          <w:i/>
          <w:iCs/>
          <w:color w:val="0000FF"/>
          <w:sz w:val="20"/>
        </w:rPr>
        <w:t>types have been in production, and the number of additional taxes that are in production in GenTax.</w:t>
      </w:r>
    </w:p>
    <w:p w14:paraId="72F60C6D" w14:textId="77777777" w:rsidR="00D319F7" w:rsidRDefault="00F17B9D" w:rsidP="00E97265">
      <w:pPr>
        <w:widowControl w:val="0"/>
        <w:autoSpaceDE w:val="0"/>
        <w:autoSpaceDN w:val="0"/>
        <w:adjustRightInd w:val="0"/>
        <w:rPr>
          <w:rFonts w:ascii="Calibri" w:hAnsi="Calibri" w:cs="Calibri"/>
          <w:color w:val="000000"/>
          <w:sz w:val="24"/>
        </w:rPr>
      </w:pPr>
      <w:r>
        <w:rPr>
          <w:rFonts w:ascii="Calibri" w:hAnsi="Calibri" w:cs="Calibri"/>
          <w:noProof/>
          <w:color w:val="000000"/>
          <w:sz w:val="24"/>
        </w:rPr>
        <w:drawing>
          <wp:inline distT="0" distB="0" distL="0" distR="0" wp14:anchorId="72F60E5F" wp14:editId="5B954A40">
            <wp:extent cx="5596255" cy="3925570"/>
            <wp:effectExtent l="25400" t="0" r="0" b="0"/>
            <wp:docPr id="4" name="Picture 3" descr="Screen Shot 2013-11-09 at 12.48.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09 at 12.48.34 PM.png"/>
                    <pic:cNvPicPr/>
                  </pic:nvPicPr>
                  <pic:blipFill>
                    <a:blip r:embed="rId14"/>
                    <a:stretch>
                      <a:fillRect/>
                    </a:stretch>
                  </pic:blipFill>
                  <pic:spPr>
                    <a:xfrm>
                      <a:off x="0" y="0"/>
                      <a:ext cx="5596255" cy="3925570"/>
                    </a:xfrm>
                    <a:prstGeom prst="rect">
                      <a:avLst/>
                    </a:prstGeom>
                  </pic:spPr>
                </pic:pic>
              </a:graphicData>
            </a:graphic>
          </wp:inline>
        </w:drawing>
      </w:r>
    </w:p>
    <w:p w14:paraId="72F60C71" w14:textId="77777777" w:rsidR="00774EF6" w:rsidRDefault="00E97265" w:rsidP="00625CFF">
      <w:pPr>
        <w:pStyle w:val="BodyText"/>
        <w:rPr>
          <w:i/>
          <w:szCs w:val="22"/>
        </w:rPr>
      </w:pPr>
      <w:r w:rsidRPr="001F1262">
        <w:rPr>
          <w:b/>
          <w:i/>
          <w:szCs w:val="22"/>
        </w:rPr>
        <w:t>Leverage shared services and cloud-based IT</w:t>
      </w:r>
      <w:r w:rsidR="001F1262" w:rsidRPr="001F1262">
        <w:rPr>
          <w:b/>
          <w:i/>
          <w:szCs w:val="22"/>
        </w:rPr>
        <w:t>:</w:t>
      </w:r>
      <w:r w:rsidR="001F1262" w:rsidRPr="001F1262">
        <w:rPr>
          <w:i/>
          <w:szCs w:val="22"/>
        </w:rPr>
        <w:t xml:space="preserve"> </w:t>
      </w:r>
      <w:r w:rsidR="00F77B4B" w:rsidRPr="001F1262">
        <w:rPr>
          <w:i/>
          <w:szCs w:val="22"/>
        </w:rPr>
        <w:t xml:space="preserve">This principle of sharing services can be applied government-wide (enterprise shared services) and in some cases to millions and even billions of users globally (via Internet standards or “the cloud”). While the risks of enterprise-wide and cloud-based IT must be carefully managed, trends continue to justify larger-scale operations. </w:t>
      </w:r>
    </w:p>
    <w:p w14:paraId="213A8686" w14:textId="649B74CF" w:rsidR="00FC53FB" w:rsidRPr="00FC53FB" w:rsidRDefault="00FC53FB" w:rsidP="00625CFF">
      <w:pPr>
        <w:pStyle w:val="BodyText"/>
        <w:rPr>
          <w:szCs w:val="22"/>
        </w:rPr>
      </w:pPr>
      <w:r>
        <w:rPr>
          <w:szCs w:val="22"/>
        </w:rPr>
        <w:t xml:space="preserve">Mathtech’s analysis is that FAST is proposing a state-hosted environment which would fall within Vermont’s current shared services IT delivery model.  In addition, FAST’s experience supporting a scalable user base supports the State’s desire to accommodate trends towards larger-scale operations.   </w:t>
      </w:r>
    </w:p>
    <w:p w14:paraId="3756ADA0" w14:textId="77777777" w:rsidR="00380CEB" w:rsidRPr="00380CEB" w:rsidRDefault="00380CEB" w:rsidP="00FC53FB">
      <w:pPr>
        <w:pStyle w:val="BodyText"/>
        <w:ind w:left="720"/>
        <w:rPr>
          <w:b/>
          <w:i/>
          <w:iCs/>
          <w:color w:val="0000FF"/>
          <w:sz w:val="20"/>
        </w:rPr>
      </w:pPr>
      <w:r w:rsidRPr="00380CEB">
        <w:rPr>
          <w:b/>
          <w:i/>
          <w:iCs/>
          <w:color w:val="0000FF"/>
          <w:sz w:val="20"/>
        </w:rPr>
        <w:t>From the FAST Proposal:</w:t>
      </w:r>
    </w:p>
    <w:p w14:paraId="72F60C73" w14:textId="0647EB45" w:rsidR="00F77B4B" w:rsidRDefault="0069609C" w:rsidP="00FC53FB">
      <w:pPr>
        <w:pStyle w:val="BodyText"/>
        <w:ind w:left="720"/>
        <w:rPr>
          <w:i/>
          <w:iCs/>
          <w:color w:val="0000FF"/>
          <w:sz w:val="20"/>
        </w:rPr>
      </w:pPr>
      <w:r w:rsidRPr="00380CEB">
        <w:rPr>
          <w:i/>
          <w:iCs/>
          <w:color w:val="0000FF"/>
          <w:sz w:val="20"/>
        </w:rPr>
        <w:t>The ITS solution FAST is</w:t>
      </w:r>
      <w:r w:rsidR="00774EF6" w:rsidRPr="00380CEB">
        <w:rPr>
          <w:i/>
          <w:iCs/>
          <w:color w:val="0000FF"/>
          <w:sz w:val="20"/>
        </w:rPr>
        <w:t xml:space="preserve"> proposing a Stat</w:t>
      </w:r>
      <w:r w:rsidRPr="00380CEB">
        <w:rPr>
          <w:i/>
          <w:iCs/>
          <w:color w:val="0000FF"/>
          <w:sz w:val="20"/>
        </w:rPr>
        <w:t>e-hosted environment for the new tax</w:t>
      </w:r>
      <w:r w:rsidR="00774EF6" w:rsidRPr="00380CEB">
        <w:rPr>
          <w:i/>
          <w:iCs/>
          <w:color w:val="0000FF"/>
          <w:sz w:val="20"/>
        </w:rPr>
        <w:t xml:space="preserve"> </w:t>
      </w:r>
      <w:r w:rsidRPr="00380CEB">
        <w:rPr>
          <w:i/>
          <w:iCs/>
          <w:color w:val="0000FF"/>
          <w:sz w:val="20"/>
        </w:rPr>
        <w:t>system. FAST</w:t>
      </w:r>
      <w:r w:rsidR="00774EF6" w:rsidRPr="00380CEB">
        <w:rPr>
          <w:i/>
          <w:iCs/>
          <w:color w:val="0000FF"/>
          <w:sz w:val="20"/>
        </w:rPr>
        <w:t xml:space="preserve"> understand</w:t>
      </w:r>
      <w:r w:rsidRPr="00380CEB">
        <w:rPr>
          <w:i/>
          <w:iCs/>
          <w:color w:val="0000FF"/>
          <w:sz w:val="20"/>
        </w:rPr>
        <w:t>s</w:t>
      </w:r>
      <w:r w:rsidR="00774EF6" w:rsidRPr="00380CEB">
        <w:rPr>
          <w:i/>
          <w:iCs/>
          <w:color w:val="0000FF"/>
          <w:sz w:val="20"/>
        </w:rPr>
        <w:t xml:space="preserve"> that the</w:t>
      </w:r>
      <w:r w:rsidR="001F1262" w:rsidRPr="00380CEB">
        <w:rPr>
          <w:i/>
          <w:iCs/>
          <w:color w:val="0000FF"/>
          <w:sz w:val="20"/>
        </w:rPr>
        <w:t xml:space="preserve"> </w:t>
      </w:r>
      <w:r w:rsidR="00774EF6" w:rsidRPr="00380CEB">
        <w:rPr>
          <w:i/>
          <w:iCs/>
          <w:color w:val="0000FF"/>
          <w:sz w:val="20"/>
        </w:rPr>
        <w:t>contractor must be responsible for full support and maintenance of the ITS operating system,</w:t>
      </w:r>
      <w:r w:rsidR="001F1262" w:rsidRPr="00380CEB">
        <w:rPr>
          <w:i/>
          <w:iCs/>
          <w:color w:val="0000FF"/>
          <w:sz w:val="20"/>
        </w:rPr>
        <w:t xml:space="preserve"> </w:t>
      </w:r>
      <w:r w:rsidR="00774EF6" w:rsidRPr="00380CEB">
        <w:rPr>
          <w:i/>
          <w:iCs/>
          <w:color w:val="0000FF"/>
          <w:sz w:val="20"/>
        </w:rPr>
        <w:t>application updates, security patches, database application, and firewall management, and we will</w:t>
      </w:r>
      <w:r w:rsidR="001F1262" w:rsidRPr="00380CEB">
        <w:rPr>
          <w:i/>
          <w:iCs/>
          <w:color w:val="0000FF"/>
          <w:sz w:val="20"/>
        </w:rPr>
        <w:t xml:space="preserve"> </w:t>
      </w:r>
      <w:r w:rsidR="00774EF6" w:rsidRPr="00380CEB">
        <w:rPr>
          <w:i/>
          <w:iCs/>
          <w:color w:val="0000FF"/>
          <w:sz w:val="20"/>
        </w:rPr>
        <w:t>assume these proj</w:t>
      </w:r>
      <w:r w:rsidRPr="00380CEB">
        <w:rPr>
          <w:i/>
          <w:iCs/>
          <w:color w:val="0000FF"/>
          <w:sz w:val="20"/>
        </w:rPr>
        <w:t>ect responsibilities. Having the FAST</w:t>
      </w:r>
      <w:r w:rsidR="00774EF6" w:rsidRPr="00380CEB">
        <w:rPr>
          <w:i/>
          <w:iCs/>
          <w:color w:val="0000FF"/>
          <w:sz w:val="20"/>
        </w:rPr>
        <w:t xml:space="preserve"> Montpelier-based project team </w:t>
      </w:r>
      <w:r w:rsidR="00380CEB">
        <w:rPr>
          <w:i/>
          <w:iCs/>
          <w:color w:val="0000FF"/>
          <w:sz w:val="20"/>
        </w:rPr>
        <w:t xml:space="preserve">co-located </w:t>
      </w:r>
      <w:r w:rsidR="00774EF6" w:rsidRPr="00380CEB">
        <w:rPr>
          <w:i/>
          <w:iCs/>
          <w:color w:val="0000FF"/>
          <w:sz w:val="20"/>
        </w:rPr>
        <w:t>with the</w:t>
      </w:r>
      <w:r w:rsidR="001F1262" w:rsidRPr="00380CEB">
        <w:rPr>
          <w:i/>
          <w:iCs/>
          <w:color w:val="0000FF"/>
          <w:sz w:val="20"/>
        </w:rPr>
        <w:t xml:space="preserve"> </w:t>
      </w:r>
      <w:r w:rsidR="00774EF6" w:rsidRPr="00380CEB">
        <w:rPr>
          <w:i/>
          <w:iCs/>
          <w:color w:val="0000FF"/>
          <w:sz w:val="20"/>
        </w:rPr>
        <w:t>hardware infrastructure in a centralized project location will therefore be the most efficient, effective,</w:t>
      </w:r>
      <w:r w:rsidR="001F1262" w:rsidRPr="00380CEB">
        <w:rPr>
          <w:i/>
          <w:iCs/>
          <w:color w:val="0000FF"/>
          <w:sz w:val="20"/>
        </w:rPr>
        <w:t xml:space="preserve"> </w:t>
      </w:r>
      <w:r w:rsidR="00774EF6" w:rsidRPr="00380CEB">
        <w:rPr>
          <w:i/>
          <w:iCs/>
          <w:color w:val="0000FF"/>
          <w:sz w:val="20"/>
        </w:rPr>
        <w:t>and economical means of supporting</w:t>
      </w:r>
      <w:r w:rsidRPr="00380CEB">
        <w:rPr>
          <w:i/>
          <w:iCs/>
          <w:color w:val="0000FF"/>
          <w:sz w:val="20"/>
        </w:rPr>
        <w:t xml:space="preserve"> and maintaining the system. The</w:t>
      </w:r>
      <w:r w:rsidR="00774EF6" w:rsidRPr="00380CEB">
        <w:rPr>
          <w:i/>
          <w:iCs/>
          <w:color w:val="0000FF"/>
          <w:sz w:val="20"/>
        </w:rPr>
        <w:t xml:space="preserve"> solution and implementation will</w:t>
      </w:r>
      <w:r w:rsidR="001F1262" w:rsidRPr="00380CEB">
        <w:rPr>
          <w:i/>
          <w:iCs/>
          <w:color w:val="0000FF"/>
          <w:sz w:val="20"/>
        </w:rPr>
        <w:t xml:space="preserve"> </w:t>
      </w:r>
      <w:r w:rsidR="00774EF6" w:rsidRPr="00380CEB">
        <w:rPr>
          <w:i/>
          <w:iCs/>
          <w:color w:val="0000FF"/>
          <w:sz w:val="20"/>
        </w:rPr>
        <w:t xml:space="preserve">also be consistent with State of Vermont information </w:t>
      </w:r>
      <w:r w:rsidRPr="00380CEB">
        <w:rPr>
          <w:i/>
          <w:iCs/>
          <w:color w:val="0000FF"/>
          <w:sz w:val="20"/>
        </w:rPr>
        <w:t>and technology</w:t>
      </w:r>
      <w:r w:rsidR="00774EF6" w:rsidRPr="00380CEB">
        <w:rPr>
          <w:i/>
          <w:iCs/>
          <w:color w:val="0000FF"/>
          <w:sz w:val="20"/>
        </w:rPr>
        <w:t xml:space="preserve"> policies.</w:t>
      </w:r>
    </w:p>
    <w:p w14:paraId="1CB6949E" w14:textId="41BD9554" w:rsidR="00FC53FB" w:rsidRPr="00380CEB" w:rsidRDefault="00FC53FB" w:rsidP="00FC53FB">
      <w:pPr>
        <w:pStyle w:val="BodyText"/>
        <w:ind w:left="720"/>
        <w:rPr>
          <w:i/>
          <w:iCs/>
          <w:color w:val="0000FF"/>
          <w:sz w:val="20"/>
        </w:rPr>
      </w:pPr>
      <w:r w:rsidRPr="00FC53FB">
        <w:rPr>
          <w:i/>
          <w:iCs/>
          <w:color w:val="0000FF"/>
          <w:sz w:val="20"/>
        </w:rPr>
        <w:t>GenTax has the scalability and flexibility to meet the needs of a broad spectrum of jurisdictions. It is in production for agencies with as few as nine to as many as 70 distinct tax and license account types in jurisdictions that serve populations from 250,000 to over 35 million (10 serve populations greater than four million). The GenTax architecture allows the system to scale over time as system usage and demand increase. An additional application server handles increased load to maintain consistent throughput with increased transaction volumes. Application servers can also be added as needed to provide a cost-effective method of scaling up the system to handle growth.</w:t>
      </w:r>
    </w:p>
    <w:p w14:paraId="72F60C75" w14:textId="77777777" w:rsidR="00F77B4B" w:rsidRDefault="00E97265" w:rsidP="00D97E92">
      <w:pPr>
        <w:pStyle w:val="BodyText"/>
        <w:rPr>
          <w:i/>
          <w:szCs w:val="22"/>
        </w:rPr>
      </w:pPr>
      <w:r w:rsidRPr="0069609C">
        <w:rPr>
          <w:b/>
          <w:i/>
          <w:szCs w:val="22"/>
        </w:rPr>
        <w:t>Leverage modern IT delivery frameworks</w:t>
      </w:r>
      <w:r w:rsidR="0069609C" w:rsidRPr="0069609C">
        <w:rPr>
          <w:i/>
          <w:szCs w:val="22"/>
        </w:rPr>
        <w:t xml:space="preserve">: </w:t>
      </w:r>
      <w:r w:rsidR="00F77B4B" w:rsidRPr="0069609C">
        <w:rPr>
          <w:i/>
          <w:szCs w:val="22"/>
        </w:rPr>
        <w:t xml:space="preserve">What’s most important about IT is not only the productivity of the technology itself, but its ability to make all kinds of work more productive. It does this largely by making activities transparent and accountable, by providing “ready to hand” guidance on an anytime/anywhere basis, by programming to shift some work from people to machines, and by networking that is especially powerful in finding innovations through collaboration and crowd sourcing </w:t>
      </w:r>
    </w:p>
    <w:p w14:paraId="70F935D7" w14:textId="77777777" w:rsidR="00FC53FB" w:rsidRDefault="00FC53FB" w:rsidP="00FC53FB">
      <w:pPr>
        <w:pStyle w:val="BodyText"/>
        <w:rPr>
          <w:i/>
          <w:szCs w:val="22"/>
        </w:rPr>
      </w:pPr>
      <w:r w:rsidRPr="0075584F">
        <w:rPr>
          <w:b/>
          <w:i/>
          <w:szCs w:val="22"/>
        </w:rPr>
        <w:t>Couple IT with business process optimization:</w:t>
      </w:r>
      <w:r w:rsidRPr="0075584F">
        <w:rPr>
          <w:i/>
          <w:szCs w:val="22"/>
        </w:rPr>
        <w:t xml:space="preserve"> To gain the most value from IT, the “business processes” of the state – i.e., how we handle public safety, health care, education, tax collection, human resources, etc. – must be redesigned to take full advantage of new IT capabilities. </w:t>
      </w:r>
    </w:p>
    <w:p w14:paraId="629E60EC" w14:textId="3100FF44" w:rsidR="00FC53FB" w:rsidRPr="00FC53FB" w:rsidRDefault="00FC53FB" w:rsidP="00D97E92">
      <w:pPr>
        <w:pStyle w:val="BodyText"/>
        <w:rPr>
          <w:szCs w:val="22"/>
        </w:rPr>
      </w:pPr>
      <w:r>
        <w:rPr>
          <w:szCs w:val="22"/>
        </w:rPr>
        <w:t xml:space="preserve">Mathtech’s analysis is that the GenTax system has </w:t>
      </w:r>
      <w:r w:rsidR="009E108A">
        <w:rPr>
          <w:szCs w:val="22"/>
        </w:rPr>
        <w:t xml:space="preserve">enabled </w:t>
      </w:r>
      <w:r>
        <w:rPr>
          <w:szCs w:val="22"/>
        </w:rPr>
        <w:t xml:space="preserve">process optimization </w:t>
      </w:r>
      <w:r w:rsidR="009E108A">
        <w:rPr>
          <w:szCs w:val="22"/>
        </w:rPr>
        <w:t xml:space="preserve">throughout prior implementations.  </w:t>
      </w:r>
      <w:r>
        <w:rPr>
          <w:szCs w:val="22"/>
        </w:rPr>
        <w:t xml:space="preserve">  </w:t>
      </w:r>
    </w:p>
    <w:p w14:paraId="0CBC18E9" w14:textId="77777777" w:rsidR="00380CEB" w:rsidRPr="00380CEB" w:rsidRDefault="00380CEB" w:rsidP="008F360D">
      <w:pPr>
        <w:pStyle w:val="BodyText"/>
        <w:ind w:left="720"/>
        <w:rPr>
          <w:b/>
          <w:i/>
          <w:iCs/>
          <w:color w:val="0000FF"/>
          <w:sz w:val="20"/>
        </w:rPr>
      </w:pPr>
      <w:r w:rsidRPr="00380CEB">
        <w:rPr>
          <w:b/>
          <w:i/>
          <w:iCs/>
          <w:color w:val="0000FF"/>
          <w:sz w:val="20"/>
        </w:rPr>
        <w:t>From the FAST Proposal:</w:t>
      </w:r>
    </w:p>
    <w:p w14:paraId="72F60C85" w14:textId="77777777" w:rsidR="00F17B9D" w:rsidRPr="00380CEB" w:rsidRDefault="003D6066" w:rsidP="008F360D">
      <w:pPr>
        <w:pStyle w:val="BodyText"/>
        <w:ind w:left="720"/>
        <w:rPr>
          <w:i/>
          <w:iCs/>
          <w:color w:val="0000FF"/>
          <w:sz w:val="20"/>
        </w:rPr>
      </w:pPr>
      <w:r w:rsidRPr="00380CEB">
        <w:rPr>
          <w:i/>
          <w:iCs/>
          <w:color w:val="0000FF"/>
          <w:sz w:val="20"/>
        </w:rPr>
        <w:t>GenTax has been modeled on, and is designed to</w:t>
      </w:r>
      <w:r w:rsidR="00B7450A" w:rsidRPr="00380CEB">
        <w:rPr>
          <w:i/>
          <w:iCs/>
          <w:color w:val="0000FF"/>
          <w:sz w:val="20"/>
        </w:rPr>
        <w:t xml:space="preserve"> </w:t>
      </w:r>
      <w:r w:rsidRPr="00380CEB">
        <w:rPr>
          <w:i/>
          <w:iCs/>
          <w:color w:val="0000FF"/>
          <w:sz w:val="20"/>
        </w:rPr>
        <w:t>incorporate, tax agency “best practices.” While the software can be configured to accommodate</w:t>
      </w:r>
      <w:r w:rsidR="00B7450A" w:rsidRPr="00380CEB">
        <w:rPr>
          <w:i/>
          <w:iCs/>
          <w:color w:val="0000FF"/>
          <w:sz w:val="20"/>
        </w:rPr>
        <w:t xml:space="preserve"> </w:t>
      </w:r>
      <w:r w:rsidRPr="00380CEB">
        <w:rPr>
          <w:i/>
          <w:iCs/>
          <w:color w:val="0000FF"/>
          <w:sz w:val="20"/>
        </w:rPr>
        <w:t>agency-specific processes, we also recommend best-practice procedures during the project’s design and</w:t>
      </w:r>
      <w:r w:rsidR="00B7450A" w:rsidRPr="00380CEB">
        <w:rPr>
          <w:i/>
          <w:iCs/>
          <w:color w:val="0000FF"/>
          <w:sz w:val="20"/>
        </w:rPr>
        <w:t xml:space="preserve"> </w:t>
      </w:r>
      <w:r w:rsidRPr="00380CEB">
        <w:rPr>
          <w:i/>
          <w:iCs/>
          <w:color w:val="0000FF"/>
          <w:sz w:val="20"/>
        </w:rPr>
        <w:t>configuration phases. This enables business process reengineering to be reviewed in the context of the</w:t>
      </w:r>
      <w:r w:rsidR="00B7450A" w:rsidRPr="00380CEB">
        <w:rPr>
          <w:i/>
          <w:iCs/>
          <w:color w:val="0000FF"/>
          <w:sz w:val="20"/>
        </w:rPr>
        <w:t xml:space="preserve"> </w:t>
      </w:r>
      <w:r w:rsidRPr="00380CEB">
        <w:rPr>
          <w:i/>
          <w:iCs/>
          <w:color w:val="0000FF"/>
          <w:sz w:val="20"/>
        </w:rPr>
        <w:t>new s</w:t>
      </w:r>
      <w:r w:rsidR="00EB58B0" w:rsidRPr="00380CEB">
        <w:rPr>
          <w:i/>
          <w:iCs/>
          <w:color w:val="0000FF"/>
          <w:sz w:val="20"/>
        </w:rPr>
        <w:t>ystem. GenTax also supports S</w:t>
      </w:r>
      <w:r w:rsidRPr="00380CEB">
        <w:rPr>
          <w:i/>
          <w:iCs/>
          <w:color w:val="0000FF"/>
          <w:sz w:val="20"/>
        </w:rPr>
        <w:t>tate-specific configuration of customer registration, collection, case</w:t>
      </w:r>
      <w:r w:rsidR="00B7450A" w:rsidRPr="00380CEB">
        <w:rPr>
          <w:i/>
          <w:iCs/>
          <w:color w:val="0000FF"/>
          <w:sz w:val="20"/>
        </w:rPr>
        <w:t xml:space="preserve"> </w:t>
      </w:r>
      <w:r w:rsidRPr="00380CEB">
        <w:rPr>
          <w:i/>
          <w:iCs/>
          <w:color w:val="0000FF"/>
          <w:sz w:val="20"/>
        </w:rPr>
        <w:t>management, returns processing, correspondence, security, payment transactions, audit, bankruptcy,</w:t>
      </w:r>
      <w:r w:rsidR="00B7450A" w:rsidRPr="00380CEB">
        <w:rPr>
          <w:i/>
          <w:iCs/>
          <w:color w:val="0000FF"/>
          <w:sz w:val="20"/>
        </w:rPr>
        <w:t xml:space="preserve"> </w:t>
      </w:r>
      <w:r w:rsidRPr="00380CEB">
        <w:rPr>
          <w:i/>
          <w:iCs/>
          <w:color w:val="0000FF"/>
          <w:sz w:val="20"/>
        </w:rPr>
        <w:t>audit selection, liens, garnishments, workflow management, and more.</w:t>
      </w:r>
    </w:p>
    <w:p w14:paraId="72F60C90" w14:textId="77777777" w:rsidR="00F77B4B" w:rsidRDefault="00E97265" w:rsidP="0051590D">
      <w:pPr>
        <w:pStyle w:val="BodyText"/>
        <w:rPr>
          <w:i/>
          <w:szCs w:val="22"/>
        </w:rPr>
      </w:pPr>
      <w:r w:rsidRPr="002D38E3">
        <w:rPr>
          <w:b/>
          <w:i/>
          <w:szCs w:val="22"/>
        </w:rPr>
        <w:t>Optimize IT investments via well-aligned EA, PM, and PPM methodologies</w:t>
      </w:r>
      <w:r w:rsidR="002D38E3" w:rsidRPr="002D38E3">
        <w:rPr>
          <w:b/>
          <w:i/>
          <w:szCs w:val="22"/>
        </w:rPr>
        <w:t>:</w:t>
      </w:r>
      <w:r w:rsidRPr="002D38E3">
        <w:rPr>
          <w:i/>
          <w:szCs w:val="22"/>
        </w:rPr>
        <w:t xml:space="preserve"> </w:t>
      </w:r>
      <w:r w:rsidR="00F77B4B" w:rsidRPr="002D38E3">
        <w:rPr>
          <w:i/>
          <w:szCs w:val="22"/>
        </w:rPr>
        <w:t xml:space="preserve">To reach our strategic objectives, we must use Enterprise Architecture methods to choose the right investments, Project Management methods to implement investments successfully, and Project Portfolio Management methods to minimize risks and maximize returns over all the investments we make. </w:t>
      </w:r>
    </w:p>
    <w:p w14:paraId="0E4D9D83" w14:textId="1A57ADA0" w:rsidR="009E108A" w:rsidRPr="009E108A" w:rsidRDefault="009E108A" w:rsidP="0051590D">
      <w:pPr>
        <w:pStyle w:val="BodyText"/>
        <w:rPr>
          <w:szCs w:val="22"/>
        </w:rPr>
      </w:pPr>
      <w:r>
        <w:rPr>
          <w:szCs w:val="22"/>
        </w:rPr>
        <w:t>Mathtech’s analysis is that FAST has an enterprise architecture that is in compliance with Vermont’s requirements.  FAST is proposing a PMP certified Project Manager.  The benefits-based implementation model shifts risk to FAST as payments for implementation will be made only upon VDT’s realization of financial benefits from the ITS.</w:t>
      </w:r>
    </w:p>
    <w:p w14:paraId="54B2FC5E" w14:textId="77777777" w:rsidR="009E108A" w:rsidRDefault="009E108A" w:rsidP="00C80F47">
      <w:pPr>
        <w:pStyle w:val="BodyText"/>
        <w:ind w:left="720"/>
        <w:rPr>
          <w:b/>
          <w:i/>
          <w:iCs/>
          <w:color w:val="0000FF"/>
          <w:sz w:val="20"/>
        </w:rPr>
      </w:pPr>
      <w:r w:rsidRPr="00380CEB">
        <w:rPr>
          <w:b/>
          <w:i/>
          <w:iCs/>
          <w:color w:val="0000FF"/>
          <w:sz w:val="20"/>
        </w:rPr>
        <w:t>From the FAST Proposal:</w:t>
      </w:r>
    </w:p>
    <w:p w14:paraId="6CB6D971" w14:textId="77777777" w:rsidR="009E108A" w:rsidRDefault="009E108A" w:rsidP="00C80F47">
      <w:pPr>
        <w:pStyle w:val="BodyText"/>
        <w:ind w:left="720"/>
        <w:rPr>
          <w:i/>
          <w:iCs/>
          <w:color w:val="0000FF"/>
          <w:sz w:val="20"/>
        </w:rPr>
      </w:pPr>
      <w:r w:rsidRPr="009E108A">
        <w:rPr>
          <w:i/>
          <w:iCs/>
          <w:color w:val="0000FF"/>
          <w:sz w:val="20"/>
        </w:rPr>
        <w:t>Our proposal is based on the use of Microsoft SQL Server 2008 R2 (or 2012) as the relational database</w:t>
      </w:r>
      <w:r>
        <w:rPr>
          <w:i/>
          <w:iCs/>
          <w:color w:val="0000FF"/>
          <w:sz w:val="20"/>
        </w:rPr>
        <w:t xml:space="preserve"> </w:t>
      </w:r>
      <w:r w:rsidRPr="009E108A">
        <w:rPr>
          <w:i/>
          <w:iCs/>
          <w:color w:val="0000FF"/>
          <w:sz w:val="20"/>
        </w:rPr>
        <w:t>management system (RDBMS). However, our system is open database connectivity (ODBC) compliant</w:t>
      </w:r>
      <w:r>
        <w:rPr>
          <w:i/>
          <w:iCs/>
          <w:color w:val="0000FF"/>
          <w:sz w:val="20"/>
        </w:rPr>
        <w:t xml:space="preserve"> </w:t>
      </w:r>
      <w:r w:rsidRPr="009E108A">
        <w:rPr>
          <w:i/>
          <w:iCs/>
          <w:color w:val="0000FF"/>
          <w:sz w:val="20"/>
        </w:rPr>
        <w:t>and also supports Oracle and IBM DB2 database technologies.</w:t>
      </w:r>
    </w:p>
    <w:p w14:paraId="12F54146" w14:textId="77777777" w:rsidR="009E108A" w:rsidRDefault="009E108A" w:rsidP="00C80F47">
      <w:pPr>
        <w:pStyle w:val="BodyText"/>
        <w:ind w:left="720"/>
        <w:rPr>
          <w:i/>
          <w:iCs/>
          <w:color w:val="0000FF"/>
          <w:sz w:val="20"/>
        </w:rPr>
      </w:pPr>
      <w:r w:rsidRPr="009E108A">
        <w:rPr>
          <w:i/>
          <w:iCs/>
          <w:color w:val="0000FF"/>
          <w:sz w:val="20"/>
        </w:rPr>
        <w:t>Application Architecture –</w:t>
      </w:r>
      <w:r>
        <w:rPr>
          <w:i/>
          <w:iCs/>
          <w:color w:val="0000FF"/>
          <w:sz w:val="20"/>
        </w:rPr>
        <w:t xml:space="preserve"> </w:t>
      </w:r>
      <w:r w:rsidRPr="009E108A">
        <w:rPr>
          <w:i/>
          <w:iCs/>
          <w:color w:val="0000FF"/>
          <w:sz w:val="20"/>
        </w:rPr>
        <w:t>Our software uses a multi-tier distributed architecture that can be divided</w:t>
      </w:r>
      <w:r>
        <w:rPr>
          <w:i/>
          <w:iCs/>
          <w:color w:val="0000FF"/>
          <w:sz w:val="20"/>
        </w:rPr>
        <w:t xml:space="preserve"> </w:t>
      </w:r>
      <w:r w:rsidRPr="009E108A">
        <w:rPr>
          <w:i/>
          <w:iCs/>
          <w:color w:val="0000FF"/>
          <w:sz w:val="20"/>
        </w:rPr>
        <w:t>into four distinct logical tiers: (1) interface [Client] tier, (2) web tier, (3) business tier, and (4) data tier.</w:t>
      </w:r>
    </w:p>
    <w:p w14:paraId="6007A1C5" w14:textId="65D5CE6E" w:rsidR="009E108A" w:rsidRPr="00380CEB" w:rsidRDefault="009E108A" w:rsidP="00C80F47">
      <w:pPr>
        <w:pStyle w:val="BodyText"/>
        <w:ind w:left="720"/>
        <w:rPr>
          <w:b/>
          <w:i/>
          <w:iCs/>
          <w:color w:val="0000FF"/>
          <w:sz w:val="20"/>
        </w:rPr>
      </w:pPr>
      <w:r w:rsidRPr="009E108A">
        <w:rPr>
          <w:b/>
          <w:i/>
          <w:iCs/>
          <w:color w:val="0000FF"/>
          <w:sz w:val="20"/>
        </w:rPr>
        <w:t>An overview of each logical tier of the architecture is provided below.</w:t>
      </w:r>
    </w:p>
    <w:p w14:paraId="7188776A" w14:textId="77777777" w:rsidR="009E108A" w:rsidRPr="00B86BDF" w:rsidRDefault="009E108A" w:rsidP="00C80F47">
      <w:pPr>
        <w:pStyle w:val="StyleTableBullet10ptItalicBlue"/>
        <w:ind w:left="1440"/>
      </w:pPr>
      <w:r w:rsidRPr="00FD57DE">
        <w:rPr>
          <w:b/>
        </w:rPr>
        <w:t>Interface Tier</w:t>
      </w:r>
      <w:r w:rsidRPr="00B86BDF">
        <w:t xml:space="preserve"> – In the interface tier, agency users access the application using a recent version of any</w:t>
      </w:r>
      <w:r>
        <w:t xml:space="preserve"> </w:t>
      </w:r>
      <w:r w:rsidRPr="00B86BDF">
        <w:t>major web browser. The client interface uses an HTML and JavaScript rendering engine to provide a</w:t>
      </w:r>
      <w:r>
        <w:t xml:space="preserve"> </w:t>
      </w:r>
      <w:r w:rsidRPr="00B86BDF">
        <w:t>cross-platform, cross-browser interface for internal and external users. Client machines do not</w:t>
      </w:r>
      <w:r>
        <w:t xml:space="preserve"> </w:t>
      </w:r>
      <w:r w:rsidRPr="00B86BDF">
        <w:t>directly communicate with the database servers.</w:t>
      </w:r>
    </w:p>
    <w:p w14:paraId="1B5A1279" w14:textId="77777777" w:rsidR="009E108A" w:rsidRDefault="009E108A" w:rsidP="00C80F47">
      <w:pPr>
        <w:pStyle w:val="StyleTableBullet10ptItalicBlue"/>
        <w:ind w:left="1440"/>
      </w:pPr>
      <w:r w:rsidRPr="00FD57DE">
        <w:rPr>
          <w:b/>
        </w:rPr>
        <w:t xml:space="preserve">Web Tier </w:t>
      </w:r>
      <w:r w:rsidRPr="00B86BDF">
        <w:t>– The web tier acts as a communication interface between the client and business layers.</w:t>
      </w:r>
      <w:r>
        <w:t xml:space="preserve"> </w:t>
      </w:r>
      <w:r w:rsidRPr="00B86BDF">
        <w:t>This layer hosts services that create the HTTP endpoints to which end users submit calls. These</w:t>
      </w:r>
      <w:r>
        <w:t xml:space="preserve"> </w:t>
      </w:r>
      <w:r w:rsidRPr="00B86BDF">
        <w:t>endpoints then “forward in” the requests via secure and encrypted TCP packets to the application</w:t>
      </w:r>
      <w:r>
        <w:t xml:space="preserve"> </w:t>
      </w:r>
      <w:r w:rsidRPr="00B86BDF">
        <w:t xml:space="preserve">servers on the business tier </w:t>
      </w:r>
      <w:r>
        <w:t>that</w:t>
      </w:r>
      <w:r w:rsidRPr="00B86BDF">
        <w:t xml:space="preserve"> then process the requests. Requests are then returned to the</w:t>
      </w:r>
      <w:r>
        <w:t xml:space="preserve"> </w:t>
      </w:r>
      <w:r w:rsidRPr="00B86BDF">
        <w:t>client layer in the reverse order.</w:t>
      </w:r>
      <w:r>
        <w:t xml:space="preserve"> </w:t>
      </w:r>
    </w:p>
    <w:p w14:paraId="69837443" w14:textId="77777777" w:rsidR="009E108A" w:rsidRPr="00B86BDF" w:rsidRDefault="009E108A" w:rsidP="00C80F47">
      <w:pPr>
        <w:pStyle w:val="StyleTableBullet10ptItalicBlue"/>
        <w:ind w:left="1440"/>
      </w:pPr>
      <w:r w:rsidRPr="00FD57DE">
        <w:rPr>
          <w:b/>
        </w:rPr>
        <w:t>Business Tier</w:t>
      </w:r>
      <w:r w:rsidRPr="00B86BDF">
        <w:t xml:space="preserve"> – The business tier is where all of the business rules are implemented and where all</w:t>
      </w:r>
      <w:r>
        <w:t xml:space="preserve"> </w:t>
      </w:r>
      <w:r w:rsidRPr="00B86BDF">
        <w:t>database actions are performed. Only business objects running on the application servers</w:t>
      </w:r>
      <w:r>
        <w:t xml:space="preserve"> </w:t>
      </w:r>
      <w:r w:rsidRPr="00B86BDF">
        <w:t>communicate with the database servers. Business objects (application server DLL components) apply</w:t>
      </w:r>
      <w:r>
        <w:t xml:space="preserve"> </w:t>
      </w:r>
      <w:r w:rsidRPr="00B86BDF">
        <w:t>business logic and request database queries and updates to the database.</w:t>
      </w:r>
    </w:p>
    <w:p w14:paraId="7310130A" w14:textId="77777777" w:rsidR="009E108A" w:rsidRPr="00CF78A9" w:rsidRDefault="009E108A" w:rsidP="00C80F47">
      <w:pPr>
        <w:pStyle w:val="StyleTableBullet10ptItalicBlue"/>
        <w:ind w:left="1440"/>
      </w:pPr>
      <w:r w:rsidRPr="00FD57DE">
        <w:rPr>
          <w:b/>
        </w:rPr>
        <w:t>Data Tier</w:t>
      </w:r>
      <w:r w:rsidRPr="00B86BDF">
        <w:t xml:space="preserve"> – The database layer is responsible for managing all the data used to configure the</w:t>
      </w:r>
      <w:r>
        <w:t xml:space="preserve"> </w:t>
      </w:r>
      <w:r w:rsidRPr="00B86BDF">
        <w:t>application as well as all the data the application collects and interacts. The data layer is</w:t>
      </w:r>
      <w:r>
        <w:t xml:space="preserve"> </w:t>
      </w:r>
      <w:r w:rsidRPr="00B86BDF">
        <w:t>implemented on a relational database management system using an ODBC or ADO.NET interface.</w:t>
      </w:r>
    </w:p>
    <w:p w14:paraId="4AB76BA1" w14:textId="77777777" w:rsidR="009E108A" w:rsidRDefault="009E108A" w:rsidP="00C80F47">
      <w:pPr>
        <w:pStyle w:val="BodyText"/>
        <w:ind w:left="720"/>
        <w:rPr>
          <w:i/>
          <w:iCs/>
          <w:color w:val="0000FF"/>
          <w:sz w:val="20"/>
        </w:rPr>
      </w:pPr>
    </w:p>
    <w:p w14:paraId="72F60C94" w14:textId="77777777" w:rsidR="00396E36" w:rsidRDefault="00063CFA" w:rsidP="00C80F47">
      <w:pPr>
        <w:pStyle w:val="BodyText"/>
        <w:ind w:left="720"/>
        <w:rPr>
          <w:i/>
          <w:iCs/>
          <w:color w:val="0000FF"/>
          <w:sz w:val="20"/>
        </w:rPr>
      </w:pPr>
      <w:r w:rsidRPr="00D97E92">
        <w:rPr>
          <w:i/>
          <w:iCs/>
          <w:color w:val="0000FF"/>
          <w:sz w:val="20"/>
        </w:rPr>
        <w:t>The FAST</w:t>
      </w:r>
      <w:r w:rsidR="00AD425E" w:rsidRPr="00D97E92">
        <w:rPr>
          <w:i/>
          <w:iCs/>
          <w:color w:val="0000FF"/>
          <w:sz w:val="20"/>
        </w:rPr>
        <w:t xml:space="preserve"> project manager must have a Project Management Professional (PMP) designation from the Project Management Institute or similar project management credential. </w:t>
      </w:r>
      <w:r w:rsidR="00183EDA" w:rsidRPr="00D97E92">
        <w:rPr>
          <w:i/>
          <w:iCs/>
          <w:color w:val="0000FF"/>
          <w:sz w:val="20"/>
        </w:rPr>
        <w:t>The FAST</w:t>
      </w:r>
      <w:r w:rsidR="00AD425E" w:rsidRPr="00D97E92">
        <w:rPr>
          <w:i/>
          <w:iCs/>
          <w:color w:val="0000FF"/>
          <w:sz w:val="20"/>
        </w:rPr>
        <w:t xml:space="preserve"> proposed project manager</w:t>
      </w:r>
      <w:r w:rsidRPr="00D97E92">
        <w:rPr>
          <w:i/>
          <w:iCs/>
          <w:color w:val="0000FF"/>
          <w:sz w:val="20"/>
        </w:rPr>
        <w:t xml:space="preserve"> has</w:t>
      </w:r>
      <w:r w:rsidR="00AD425E" w:rsidRPr="00D97E92">
        <w:rPr>
          <w:i/>
          <w:iCs/>
          <w:color w:val="0000FF"/>
          <w:sz w:val="20"/>
        </w:rPr>
        <w:t xml:space="preserve"> his PMP certification</w:t>
      </w:r>
      <w:r w:rsidR="00CB4A7C" w:rsidRPr="00D97E92">
        <w:rPr>
          <w:i/>
          <w:iCs/>
          <w:color w:val="0000FF"/>
          <w:sz w:val="20"/>
        </w:rPr>
        <w:t xml:space="preserve"> and</w:t>
      </w:r>
      <w:r w:rsidR="00396E36" w:rsidRPr="00D97E92">
        <w:rPr>
          <w:i/>
          <w:iCs/>
          <w:color w:val="0000FF"/>
          <w:sz w:val="20"/>
        </w:rPr>
        <w:t xml:space="preserve"> </w:t>
      </w:r>
      <w:r w:rsidR="00183EDA" w:rsidRPr="00D97E92">
        <w:rPr>
          <w:i/>
          <w:iCs/>
          <w:color w:val="0000FF"/>
          <w:sz w:val="20"/>
        </w:rPr>
        <w:t>has</w:t>
      </w:r>
      <w:r w:rsidR="00396E36" w:rsidRPr="00D97E92">
        <w:rPr>
          <w:i/>
          <w:iCs/>
          <w:color w:val="0000FF"/>
          <w:sz w:val="20"/>
        </w:rPr>
        <w:t xml:space="preserve"> served as project manager or engagement manager for at least one implementation of the COTS ITS in another United States state tax or revenue jurisdictional implementation. </w:t>
      </w:r>
      <w:r w:rsidR="00CB4A7C" w:rsidRPr="00D97E92">
        <w:rPr>
          <w:i/>
          <w:iCs/>
          <w:color w:val="0000FF"/>
          <w:sz w:val="20"/>
        </w:rPr>
        <w:t xml:space="preserve">The proposed project manager </w:t>
      </w:r>
      <w:r w:rsidR="00396E36" w:rsidRPr="00D97E92">
        <w:rPr>
          <w:i/>
          <w:iCs/>
          <w:color w:val="0000FF"/>
          <w:sz w:val="20"/>
        </w:rPr>
        <w:t xml:space="preserve">has over 11 years of experience performing project management, GenTax implementation, and software development services for Fast Enterprises (FAST). He is currently the FAST project manager for the Colorado Department of Revenue’s GenTax-based Colorado Integrated Tax Architecture (CITA) system. The CITA project recently completed implementation of more than 50 tax and licensing account programs, including individual income tax, corporate income tax, wage withholding, and sales tax. </w:t>
      </w:r>
      <w:r w:rsidR="00CB4A7C" w:rsidRPr="00D97E92">
        <w:rPr>
          <w:i/>
          <w:iCs/>
          <w:color w:val="0000FF"/>
          <w:sz w:val="20"/>
        </w:rPr>
        <w:t>The project manager</w:t>
      </w:r>
      <w:r w:rsidR="00396E36" w:rsidRPr="00D97E92">
        <w:rPr>
          <w:i/>
          <w:iCs/>
          <w:color w:val="0000FF"/>
          <w:sz w:val="20"/>
        </w:rPr>
        <w:t xml:space="preserve"> has also served on GenTax for all issues related to the project and the software. This full-</w:t>
      </w:r>
      <w:r w:rsidR="00183EDA" w:rsidRPr="00D97E92">
        <w:rPr>
          <w:i/>
          <w:iCs/>
          <w:color w:val="0000FF"/>
          <w:sz w:val="20"/>
        </w:rPr>
        <w:t>service delivery model allows FAST</w:t>
      </w:r>
      <w:r w:rsidR="00396E36" w:rsidRPr="00D97E92">
        <w:rPr>
          <w:i/>
          <w:iCs/>
          <w:color w:val="0000FF"/>
          <w:sz w:val="20"/>
        </w:rPr>
        <w:t xml:space="preserve"> to</w:t>
      </w:r>
      <w:r w:rsidR="00E153B8" w:rsidRPr="00D97E92">
        <w:rPr>
          <w:i/>
          <w:iCs/>
          <w:color w:val="0000FF"/>
          <w:sz w:val="20"/>
        </w:rPr>
        <w:t xml:space="preserve"> </w:t>
      </w:r>
      <w:r w:rsidR="00183EDA" w:rsidRPr="00D97E92">
        <w:rPr>
          <w:i/>
          <w:iCs/>
          <w:color w:val="0000FF"/>
          <w:sz w:val="20"/>
        </w:rPr>
        <w:t>expedite delivery of the</w:t>
      </w:r>
      <w:r w:rsidR="00396E36" w:rsidRPr="00D97E92">
        <w:rPr>
          <w:i/>
          <w:iCs/>
          <w:color w:val="0000FF"/>
          <w:sz w:val="20"/>
        </w:rPr>
        <w:t xml:space="preserve"> GenTax solution to customers.</w:t>
      </w:r>
    </w:p>
    <w:p w14:paraId="79A8E935" w14:textId="32526D55" w:rsidR="009E108A" w:rsidRPr="00D97E92" w:rsidRDefault="00C80F47" w:rsidP="00C80F47">
      <w:pPr>
        <w:pStyle w:val="BodyText"/>
        <w:ind w:left="720"/>
        <w:rPr>
          <w:i/>
          <w:iCs/>
          <w:color w:val="0000FF"/>
          <w:sz w:val="20"/>
        </w:rPr>
      </w:pPr>
      <w:r w:rsidRPr="00C80F47">
        <w:rPr>
          <w:b/>
          <w:i/>
          <w:iCs/>
          <w:color w:val="0000FF"/>
          <w:sz w:val="20"/>
        </w:rPr>
        <w:t>GenTax supports benefits funding and return on investment</w:t>
      </w:r>
      <w:r w:rsidRPr="00C80F47">
        <w:rPr>
          <w:i/>
          <w:iCs/>
          <w:color w:val="0000FF"/>
          <w:sz w:val="20"/>
        </w:rPr>
        <w:t xml:space="preserve"> – GenTax has been proven to deliver</w:t>
      </w:r>
      <w:r>
        <w:rPr>
          <w:i/>
          <w:iCs/>
          <w:color w:val="0000FF"/>
          <w:sz w:val="20"/>
        </w:rPr>
        <w:t xml:space="preserve"> </w:t>
      </w:r>
      <w:r w:rsidRPr="00C80F47">
        <w:rPr>
          <w:i/>
          <w:iCs/>
          <w:color w:val="0000FF"/>
          <w:sz w:val="20"/>
        </w:rPr>
        <w:t>benefits for our client agencies and their stakeholders. All of our state tax agency clients have generated</w:t>
      </w:r>
      <w:r>
        <w:rPr>
          <w:i/>
          <w:iCs/>
          <w:color w:val="0000FF"/>
          <w:sz w:val="20"/>
        </w:rPr>
        <w:t xml:space="preserve"> </w:t>
      </w:r>
      <w:r w:rsidRPr="00C80F47">
        <w:rPr>
          <w:i/>
          <w:iCs/>
          <w:color w:val="0000FF"/>
          <w:sz w:val="20"/>
        </w:rPr>
        <w:t>and/or recovered additional revenues through use of GenTax. Benefits include increases in revenue</w:t>
      </w:r>
      <w:r>
        <w:rPr>
          <w:i/>
          <w:iCs/>
          <w:color w:val="0000FF"/>
          <w:sz w:val="20"/>
        </w:rPr>
        <w:t xml:space="preserve"> </w:t>
      </w:r>
      <w:r w:rsidRPr="00C80F47">
        <w:rPr>
          <w:i/>
          <w:iCs/>
          <w:color w:val="0000FF"/>
          <w:sz w:val="20"/>
        </w:rPr>
        <w:t>brought on by our solution’s compliance and automated collections activities, improvements in</w:t>
      </w:r>
      <w:r>
        <w:rPr>
          <w:i/>
          <w:iCs/>
          <w:color w:val="0000FF"/>
          <w:sz w:val="20"/>
        </w:rPr>
        <w:t xml:space="preserve"> </w:t>
      </w:r>
      <w:r w:rsidRPr="00C80F47">
        <w:rPr>
          <w:i/>
          <w:iCs/>
          <w:color w:val="0000FF"/>
          <w:sz w:val="20"/>
        </w:rPr>
        <w:t>customer service and employee confidence and morale, elimination of redundant user tasks allowing</w:t>
      </w:r>
      <w:r>
        <w:rPr>
          <w:i/>
          <w:iCs/>
          <w:color w:val="0000FF"/>
          <w:sz w:val="20"/>
        </w:rPr>
        <w:t xml:space="preserve"> </w:t>
      </w:r>
      <w:r w:rsidRPr="00C80F47">
        <w:rPr>
          <w:i/>
          <w:iCs/>
          <w:color w:val="0000FF"/>
          <w:sz w:val="20"/>
        </w:rPr>
        <w:t>redeployment of resources to higher-value activities, real-time access to statistics for performance and</w:t>
      </w:r>
      <w:r>
        <w:rPr>
          <w:i/>
          <w:iCs/>
          <w:color w:val="0000FF"/>
          <w:sz w:val="20"/>
        </w:rPr>
        <w:t xml:space="preserve"> </w:t>
      </w:r>
      <w:r w:rsidRPr="00C80F47">
        <w:rPr>
          <w:i/>
          <w:iCs/>
          <w:color w:val="0000FF"/>
          <w:sz w:val="20"/>
        </w:rPr>
        <w:t>operations analytics, enhanced responsiveness to legislative changes and stakeholder requests, new</w:t>
      </w:r>
      <w:r>
        <w:rPr>
          <w:i/>
          <w:iCs/>
          <w:color w:val="0000FF"/>
          <w:sz w:val="20"/>
        </w:rPr>
        <w:t xml:space="preserve"> </w:t>
      </w:r>
      <w:r w:rsidRPr="00C80F47">
        <w:rPr>
          <w:i/>
          <w:iCs/>
          <w:color w:val="0000FF"/>
          <w:sz w:val="20"/>
        </w:rPr>
        <w:t>system automations and virtual self-service features, and overall improvements to agency training,</w:t>
      </w:r>
      <w:r>
        <w:rPr>
          <w:i/>
          <w:iCs/>
          <w:color w:val="0000FF"/>
          <w:sz w:val="20"/>
        </w:rPr>
        <w:t xml:space="preserve"> </w:t>
      </w:r>
      <w:r w:rsidRPr="00C80F47">
        <w:rPr>
          <w:i/>
          <w:iCs/>
          <w:color w:val="0000FF"/>
          <w:sz w:val="20"/>
        </w:rPr>
        <w:t>efficiency, and effectiveness. We obtain benefits on the project from multiple approaches that have</w:t>
      </w:r>
      <w:r>
        <w:rPr>
          <w:i/>
          <w:iCs/>
          <w:color w:val="0000FF"/>
          <w:sz w:val="20"/>
        </w:rPr>
        <w:t xml:space="preserve"> </w:t>
      </w:r>
      <w:r w:rsidRPr="00C80F47">
        <w:rPr>
          <w:i/>
          <w:iCs/>
          <w:color w:val="0000FF"/>
          <w:sz w:val="20"/>
        </w:rPr>
        <w:t>proven successful, including process automation and improvements, operational efficiencies, legacy</w:t>
      </w:r>
      <w:r>
        <w:rPr>
          <w:i/>
          <w:iCs/>
          <w:color w:val="0000FF"/>
          <w:sz w:val="20"/>
        </w:rPr>
        <w:t xml:space="preserve"> </w:t>
      </w:r>
      <w:r w:rsidRPr="00C80F47">
        <w:rPr>
          <w:i/>
          <w:iCs/>
          <w:color w:val="0000FF"/>
          <w:sz w:val="20"/>
        </w:rPr>
        <w:t>system cost reductions, staff training and knowledge transfer, integration of discovery and compliance</w:t>
      </w:r>
      <w:r>
        <w:rPr>
          <w:i/>
          <w:iCs/>
          <w:color w:val="0000FF"/>
          <w:sz w:val="20"/>
        </w:rPr>
        <w:t xml:space="preserve"> </w:t>
      </w:r>
      <w:r w:rsidRPr="00C80F47">
        <w:rPr>
          <w:i/>
          <w:iCs/>
          <w:color w:val="0000FF"/>
          <w:sz w:val="20"/>
        </w:rPr>
        <w:t>programs, and integrated workload management functions.</w:t>
      </w:r>
    </w:p>
    <w:p w14:paraId="72F60C9C" w14:textId="77777777" w:rsidR="00967F07" w:rsidRDefault="00200697" w:rsidP="00200697">
      <w:pPr>
        <w:pStyle w:val="Heading2"/>
      </w:pPr>
      <w:bookmarkStart w:id="30" w:name="_Toc377313544"/>
      <w:r>
        <w:t>System Integration Requirements</w:t>
      </w:r>
      <w:bookmarkEnd w:id="30"/>
    </w:p>
    <w:p w14:paraId="5DF16E67" w14:textId="1F3932A4" w:rsidR="00C4746A" w:rsidRDefault="006B6561" w:rsidP="0051590D">
      <w:pPr>
        <w:pStyle w:val="BodyText"/>
      </w:pPr>
      <w:r>
        <w:t>FAST noted that “</w:t>
      </w:r>
      <w:r w:rsidR="005439BB" w:rsidRPr="005439BB">
        <w:t>In total, hundreds of interfaces with third-party systems are in production at client sites. In fact, interfaces/data exchange are in production at our GenTax client sites for systems similar to all those listed</w:t>
      </w:r>
      <w:r w:rsidR="005439BB">
        <w:t xml:space="preserve">” in the VDT RFP.  This statement, coupled with FAST’s large installation base, suggests that VDT required integration will be able to be handled without material risk.  </w:t>
      </w:r>
      <w:r>
        <w:t xml:space="preserve"> </w:t>
      </w:r>
    </w:p>
    <w:p w14:paraId="3037EAE8" w14:textId="10F7FE15" w:rsidR="005439BB" w:rsidRPr="00C4746A" w:rsidRDefault="005439BB" w:rsidP="0051590D">
      <w:pPr>
        <w:pStyle w:val="BodyText"/>
      </w:pPr>
      <w:r>
        <w:t xml:space="preserve">One additional point of note is FAST’s statement regarding credit card processing, specifically “GenTax does not process or store credit card information. Rather, our solution interfaces with thirdparty credit card systems that are compliant with PCI-DSS standards. Interfaces with third-party credit card systems are in production at 15 of our GenTax client sites…”  While not part of the base FAST solution, these statements indicate FAST’s experience handling PCI-compliant credit card processing.  </w:t>
      </w:r>
    </w:p>
    <w:p w14:paraId="72F60CB7" w14:textId="77777777" w:rsidR="00967F07" w:rsidRDefault="00200697" w:rsidP="00200697">
      <w:pPr>
        <w:pStyle w:val="Heading2"/>
      </w:pPr>
      <w:bookmarkStart w:id="31" w:name="_Toc377313545"/>
      <w:r>
        <w:t>Ability of the Technology Vendor to Support the Business Needs</w:t>
      </w:r>
      <w:bookmarkEnd w:id="31"/>
    </w:p>
    <w:p w14:paraId="49CC00A8" w14:textId="7FBF7BCE" w:rsidR="008E6AF2" w:rsidRDefault="008E6AF2" w:rsidP="0051590D">
      <w:pPr>
        <w:pStyle w:val="BodyText"/>
      </w:pPr>
      <w:r>
        <w:t>FAST’s track record of successful implementations and experience in the Taxation f</w:t>
      </w:r>
      <w:r w:rsidR="00FD43A9">
        <w:t xml:space="preserve">ield, in addition to the </w:t>
      </w:r>
      <w:r>
        <w:t xml:space="preserve">configurable nature of the GenTax product, indicate its ability to support the business needs of VDT.  </w:t>
      </w:r>
    </w:p>
    <w:p w14:paraId="72F60CCB" w14:textId="77777777" w:rsidR="00CF78A9" w:rsidRDefault="00200697" w:rsidP="00200697">
      <w:pPr>
        <w:pStyle w:val="Heading2"/>
      </w:pPr>
      <w:bookmarkStart w:id="32" w:name="_Toc377313546"/>
      <w:r>
        <w:t>Vendor Compliance to Required Project Policies, Guidelines and Methodologies</w:t>
      </w:r>
      <w:bookmarkEnd w:id="32"/>
    </w:p>
    <w:p w14:paraId="63473CB3" w14:textId="77777777" w:rsidR="00B27CC2" w:rsidRDefault="00B27CC2" w:rsidP="00E702B7">
      <w:pPr>
        <w:pStyle w:val="BodyText"/>
      </w:pPr>
      <w:r>
        <w:t xml:space="preserve">FAST did not request any exceptions to section </w:t>
      </w:r>
      <w:r w:rsidRPr="00B27CC2">
        <w:t>3.9</w:t>
      </w:r>
      <w:r w:rsidRPr="00B27CC2">
        <w:tab/>
        <w:t xml:space="preserve">Required Project Policies, Guidelines and Methodologies </w:t>
      </w:r>
      <w:r>
        <w:t xml:space="preserve">of the VDT’s RFP.  As such, FAST is expected to fully comply with all required elements of that section.  </w:t>
      </w:r>
    </w:p>
    <w:p w14:paraId="72F60CD3" w14:textId="77777777" w:rsidR="00774EF6" w:rsidRDefault="00200697" w:rsidP="00200697">
      <w:pPr>
        <w:pStyle w:val="Heading2"/>
      </w:pPr>
      <w:bookmarkStart w:id="33" w:name="_Toc377313547"/>
      <w:r>
        <w:t>Independent Review Findings</w:t>
      </w:r>
      <w:bookmarkEnd w:id="33"/>
    </w:p>
    <w:p w14:paraId="126837EA" w14:textId="3251FC00" w:rsidR="00EE2243" w:rsidRDefault="00267A1A" w:rsidP="00EE2243">
      <w:pPr>
        <w:pStyle w:val="Heading5"/>
      </w:pPr>
      <w:bookmarkStart w:id="34" w:name="_Ref372517173"/>
      <w:r>
        <w:t>Finding</w:t>
      </w:r>
      <w:r w:rsidR="00EE2243">
        <w:t xml:space="preserve"> </w:t>
      </w:r>
      <w:r w:rsidR="008F360D">
        <w:t>6</w:t>
      </w:r>
      <w:r>
        <w:t xml:space="preserve">: The FAST solution supports the </w:t>
      </w:r>
      <w:r w:rsidRPr="00267A1A">
        <w:t>State’s Strategic Enterprise Systems Direction</w:t>
      </w:r>
      <w:r>
        <w:t>.</w:t>
      </w:r>
      <w:bookmarkEnd w:id="34"/>
      <w:r>
        <w:t xml:space="preserve">  </w:t>
      </w:r>
    </w:p>
    <w:p w14:paraId="534589BD" w14:textId="4335D73C" w:rsidR="00267A1A" w:rsidRPr="00267A1A" w:rsidRDefault="0009714D" w:rsidP="00267A1A">
      <w:pPr>
        <w:pStyle w:val="BodyText"/>
      </w:pPr>
      <w:r>
        <w:t xml:space="preserve">Each tenant of the State’s Strategic Enterprise Systems Direction is supported by the FAST GenTax solution and FAST implementation approach.  </w:t>
      </w:r>
      <w:r w:rsidR="00267A1A">
        <w:t xml:space="preserve">    </w:t>
      </w:r>
    </w:p>
    <w:p w14:paraId="038F00BA" w14:textId="0E3D64B8" w:rsidR="00EE2243" w:rsidRDefault="00267A1A" w:rsidP="00EE2243">
      <w:pPr>
        <w:pStyle w:val="Heading5"/>
      </w:pPr>
      <w:bookmarkStart w:id="35" w:name="_Ref372517174"/>
      <w:r>
        <w:t>Finding</w:t>
      </w:r>
      <w:r w:rsidR="00EE2243">
        <w:t xml:space="preserve"> </w:t>
      </w:r>
      <w:r w:rsidR="008F360D">
        <w:t>7</w:t>
      </w:r>
      <w:r>
        <w:t>: FAST has a proven, scalable architecture that can support a high number of end users.</w:t>
      </w:r>
      <w:bookmarkEnd w:id="35"/>
      <w:r>
        <w:t xml:space="preserve">  </w:t>
      </w:r>
    </w:p>
    <w:p w14:paraId="7F6CDE14" w14:textId="201B9093" w:rsidR="00267A1A" w:rsidRDefault="00267A1A" w:rsidP="00116539">
      <w:pPr>
        <w:pStyle w:val="BodyText"/>
      </w:pPr>
      <w:r>
        <w:t xml:space="preserve">FAST has a track record of successful implementation in other states, some of which are larger than Vermont in terms of population and </w:t>
      </w:r>
      <w:r w:rsidR="0009714D">
        <w:t>agency</w:t>
      </w:r>
      <w:r>
        <w:t xml:space="preserve"> staffing size.  FAST has provided slightly “oversized” infrastructure requirements based upon an assumption of scalability.  </w:t>
      </w:r>
    </w:p>
    <w:p w14:paraId="5C86294C" w14:textId="644D9CB7" w:rsidR="00EE2243" w:rsidRDefault="00267A1A" w:rsidP="00EE2243">
      <w:pPr>
        <w:pStyle w:val="Heading5"/>
      </w:pPr>
      <w:bookmarkStart w:id="36" w:name="_Ref372517177"/>
      <w:r>
        <w:t>Finding</w:t>
      </w:r>
      <w:r w:rsidR="00EE2243">
        <w:t xml:space="preserve"> </w:t>
      </w:r>
      <w:r w:rsidR="008F360D">
        <w:t>8</w:t>
      </w:r>
      <w:r>
        <w:t>: Over the course of prior implementations, FAST has developed many interfaces that are similar to the interfaces required by VDT.</w:t>
      </w:r>
      <w:bookmarkEnd w:id="36"/>
      <w:r>
        <w:t xml:space="preserve">  </w:t>
      </w:r>
    </w:p>
    <w:p w14:paraId="376ACFC0" w14:textId="6A3C5030" w:rsidR="00267A1A" w:rsidRDefault="0009714D" w:rsidP="00267A1A">
      <w:pPr>
        <w:pStyle w:val="BodyText"/>
      </w:pPr>
      <w:r>
        <w:t xml:space="preserve">While VDT’s interface needs will be unique, it is </w:t>
      </w:r>
      <w:r w:rsidR="00C14C67">
        <w:t>beneficial</w:t>
      </w:r>
      <w:r>
        <w:t xml:space="preserve"> that FAST has developed many interfaces for other implementations and, as a result, understands how to </w:t>
      </w:r>
      <w:r w:rsidR="00C14C67">
        <w:t xml:space="preserve">successfully </w:t>
      </w:r>
      <w:r>
        <w:t xml:space="preserve">drive </w:t>
      </w:r>
      <w:r w:rsidR="00C14C67">
        <w:t>the effort</w:t>
      </w:r>
      <w:r>
        <w:t>.  In addition, it is possible that there are technical specifications from prior similar interfaces that VDT may benefit from during implementation.</w:t>
      </w:r>
      <w:r w:rsidR="00A071EB">
        <w:t xml:space="preserve">  VDT and DII should review FAST’s interface design documents prior to implementation commencement to ensure they meet VDT and DII’s standards.</w:t>
      </w:r>
    </w:p>
    <w:p w14:paraId="6A29DA7C" w14:textId="140A1321" w:rsidR="00A071EB" w:rsidRDefault="00C14C67" w:rsidP="00544F45">
      <w:pPr>
        <w:pStyle w:val="Heading5"/>
      </w:pPr>
      <w:r>
        <w:t xml:space="preserve">Finding 9:  VDT should ensure that the contract with FAST </w:t>
      </w:r>
      <w:r w:rsidR="00A071EB">
        <w:t xml:space="preserve">includes, in scope, all current interfaces.  </w:t>
      </w:r>
    </w:p>
    <w:p w14:paraId="0BD78B56" w14:textId="35A72F2D" w:rsidR="00C14C67" w:rsidRDefault="00A071EB" w:rsidP="00267A1A">
      <w:pPr>
        <w:pStyle w:val="BodyText"/>
      </w:pPr>
      <w:r>
        <w:t xml:space="preserve">A list of interfaces is provided in the VDT RFP and FAST agreed to the scope.  In addition, VDT should include language in the contract to ensure that all interfaces for current systems are in scope for implementation.  </w:t>
      </w:r>
    </w:p>
    <w:p w14:paraId="57A62424" w14:textId="740240B5" w:rsidR="00EE2243" w:rsidRDefault="0009714D" w:rsidP="00EE2243">
      <w:pPr>
        <w:pStyle w:val="Heading5"/>
      </w:pPr>
      <w:bookmarkStart w:id="37" w:name="_Ref372517179"/>
      <w:r w:rsidRPr="0009714D">
        <w:t>Finding</w:t>
      </w:r>
      <w:r w:rsidR="00EE2243">
        <w:t xml:space="preserve"> </w:t>
      </w:r>
      <w:r w:rsidR="002C0E13">
        <w:t>10</w:t>
      </w:r>
      <w:r w:rsidRPr="0009714D">
        <w:t>: FAST’s implementation footprint and current installation base demonstrate the GenTax’s system’s ability to support the business operations of Taxation.</w:t>
      </w:r>
      <w:bookmarkEnd w:id="37"/>
      <w:r>
        <w:t xml:space="preserve">  </w:t>
      </w:r>
    </w:p>
    <w:p w14:paraId="256BE632" w14:textId="1BC56C52" w:rsidR="00267A1A" w:rsidRDefault="0009714D" w:rsidP="00116539">
      <w:pPr>
        <w:pStyle w:val="BodyText"/>
      </w:pPr>
      <w:r>
        <w:t xml:space="preserve">VDT will benefit from FAST’s Tax Operations experience, and will likely find it difficult to identify an operation or process that cannot be accommodated by the GenTax system.  </w:t>
      </w:r>
    </w:p>
    <w:p w14:paraId="7FD94733" w14:textId="00809339" w:rsidR="00EE2243" w:rsidRDefault="0009714D" w:rsidP="00EE2243">
      <w:pPr>
        <w:pStyle w:val="Heading5"/>
      </w:pPr>
      <w:bookmarkStart w:id="38" w:name="_Ref372517180"/>
      <w:r w:rsidRPr="0009714D">
        <w:t>Finding</w:t>
      </w:r>
      <w:r w:rsidR="00EE2243">
        <w:t xml:space="preserve"> </w:t>
      </w:r>
      <w:r w:rsidR="002C0E13">
        <w:t>11</w:t>
      </w:r>
      <w:r w:rsidRPr="0009714D">
        <w:t xml:space="preserve">: </w:t>
      </w:r>
      <w:r>
        <w:t>FAST will fully comply with all required project policies, guidelines and methodologies.</w:t>
      </w:r>
      <w:bookmarkEnd w:id="38"/>
      <w:r w:rsidRPr="0009714D">
        <w:t xml:space="preserve">  </w:t>
      </w:r>
    </w:p>
    <w:p w14:paraId="3C392813" w14:textId="4D8D5F52" w:rsidR="0009714D" w:rsidRDefault="0009714D" w:rsidP="00116539">
      <w:pPr>
        <w:pStyle w:val="BodyText"/>
      </w:pPr>
      <w:r>
        <w:t xml:space="preserve">FAST did not request any exceptions to Section 3.9 of VDT’s RFP.  In addition, </w:t>
      </w:r>
      <w:r w:rsidRPr="0009714D">
        <w:t xml:space="preserve">FAST’s experience over multiple </w:t>
      </w:r>
      <w:r>
        <w:t xml:space="preserve">successful </w:t>
      </w:r>
      <w:r w:rsidRPr="0009714D">
        <w:t>implementations indicate</w:t>
      </w:r>
      <w:r>
        <w:t xml:space="preserve"> a deep familiarity with good project practices.  </w:t>
      </w:r>
    </w:p>
    <w:p w14:paraId="438EA6EE" w14:textId="3EDE5F7E" w:rsidR="00EE2243" w:rsidRDefault="00E24D4E" w:rsidP="00EE2243">
      <w:pPr>
        <w:pStyle w:val="Heading5"/>
      </w:pPr>
      <w:bookmarkStart w:id="39" w:name="_Ref372517181"/>
      <w:r w:rsidRPr="00E24D4E">
        <w:t>Finding</w:t>
      </w:r>
      <w:r w:rsidR="00EE2243">
        <w:t xml:space="preserve"> </w:t>
      </w:r>
      <w:r w:rsidR="002C0E13">
        <w:t>12</w:t>
      </w:r>
      <w:r w:rsidR="00774EF6" w:rsidRPr="00E24D4E">
        <w:t xml:space="preserve">: A detailed backup and recovery plan </w:t>
      </w:r>
      <w:r w:rsidR="004B77A4">
        <w:t xml:space="preserve">must be defined </w:t>
      </w:r>
      <w:r w:rsidR="00E00860">
        <w:t>by the</w:t>
      </w:r>
      <w:r w:rsidR="004B77A4">
        <w:t xml:space="preserve"> </w:t>
      </w:r>
      <w:r w:rsidR="00774EF6" w:rsidRPr="00E24D4E">
        <w:t>State.</w:t>
      </w:r>
      <w:bookmarkEnd w:id="39"/>
      <w:r w:rsidR="0051590D">
        <w:t xml:space="preserve">  </w:t>
      </w:r>
    </w:p>
    <w:p w14:paraId="77FBF708" w14:textId="3F510099" w:rsidR="00F66592" w:rsidRDefault="00AD24AA" w:rsidP="00116539">
      <w:pPr>
        <w:pStyle w:val="BodyText"/>
      </w:pPr>
      <w:r>
        <w:t xml:space="preserve">The FAST </w:t>
      </w:r>
      <w:r w:rsidR="00C80F47">
        <w:t>proposal</w:t>
      </w:r>
      <w:r>
        <w:t xml:space="preserve"> </w:t>
      </w:r>
      <w:r w:rsidR="00A36146">
        <w:t xml:space="preserve">provides </w:t>
      </w:r>
      <w:r w:rsidR="00C80F47">
        <w:t xml:space="preserve">only </w:t>
      </w:r>
      <w:r w:rsidR="00A36146">
        <w:t>general guidance on backup and recovery of the GenTax system</w:t>
      </w:r>
      <w:r w:rsidR="0009714D">
        <w:t xml:space="preserve"> and alludes to a more detailed exploration of needs with the State</w:t>
      </w:r>
      <w:r w:rsidR="00A36146">
        <w:t xml:space="preserve">.  </w:t>
      </w:r>
      <w:r w:rsidR="00C80F47">
        <w:t>Based upon FAST’s proposal to have Vermont host the GenTax system, it is expected that DII will incorporate GenTax into the normal review and prioritization process f</w:t>
      </w:r>
      <w:r w:rsidR="0015667E">
        <w:t xml:space="preserve">or Backup and Disaster Recovery.  </w:t>
      </w:r>
      <w:r w:rsidR="004C4BD1">
        <w:t xml:space="preserve">Currently, VDT has not defined Recovery Time Objectives (RTOs) with DII for legacy systems and as a result, no RTOs exist for the GenTax solution.  </w:t>
      </w:r>
    </w:p>
    <w:p w14:paraId="6212E5D8" w14:textId="1F7FAF9B" w:rsidR="00EE2243" w:rsidRDefault="00F66592" w:rsidP="00EE2243">
      <w:pPr>
        <w:pStyle w:val="Heading5"/>
      </w:pPr>
      <w:bookmarkStart w:id="40" w:name="_Ref372517183"/>
      <w:r>
        <w:t>Finding</w:t>
      </w:r>
      <w:r w:rsidR="00EE2243">
        <w:t xml:space="preserve"> </w:t>
      </w:r>
      <w:r w:rsidR="002C0E13">
        <w:t>13</w:t>
      </w:r>
      <w:r w:rsidRPr="00330714">
        <w:t>: FAST does not support credit card payment transactions directly.</w:t>
      </w:r>
      <w:bookmarkEnd w:id="40"/>
      <w:r w:rsidRPr="00330714">
        <w:t xml:space="preserve">  </w:t>
      </w:r>
    </w:p>
    <w:p w14:paraId="72F60CD8" w14:textId="0A08858F" w:rsidR="00D62E86" w:rsidRDefault="00F66592" w:rsidP="00116539">
      <w:pPr>
        <w:pStyle w:val="BodyText"/>
      </w:pPr>
      <w:r>
        <w:t>As stated</w:t>
      </w:r>
      <w:r w:rsidR="00C80F47">
        <w:t xml:space="preserve">, </w:t>
      </w:r>
      <w:r>
        <w:t xml:space="preserve">FAST </w:t>
      </w:r>
      <w:r w:rsidR="0051590D">
        <w:t xml:space="preserve">does not offer a PCI-compliant credit card payment system but has interfaced with multiple systems </w:t>
      </w:r>
      <w:r w:rsidR="00C80F47">
        <w:t>in</w:t>
      </w:r>
      <w:r w:rsidR="0015667E">
        <w:t xml:space="preserve"> other states, indicating the ability to handle this requirement.</w:t>
      </w:r>
    </w:p>
    <w:p w14:paraId="72F60CDB" w14:textId="77777777" w:rsidR="00200697" w:rsidRDefault="00200697" w:rsidP="00200697">
      <w:pPr>
        <w:pStyle w:val="Heading1"/>
      </w:pPr>
      <w:bookmarkStart w:id="41" w:name="_Toc377313548"/>
      <w:r>
        <w:t>Assessment of Implementation Plan</w:t>
      </w:r>
      <w:bookmarkEnd w:id="41"/>
    </w:p>
    <w:p w14:paraId="72F60CDC" w14:textId="77777777" w:rsidR="00D13A6E" w:rsidRDefault="00200697" w:rsidP="00200697">
      <w:pPr>
        <w:pStyle w:val="Heading2"/>
      </w:pPr>
      <w:bookmarkStart w:id="42" w:name="_Toc377313549"/>
      <w:r>
        <w:t>Reality of the Timetable</w:t>
      </w:r>
      <w:bookmarkEnd w:id="42"/>
    </w:p>
    <w:p w14:paraId="72F60CDE" w14:textId="4B9B045E" w:rsidR="00590454" w:rsidRDefault="00851BCF" w:rsidP="00116539">
      <w:pPr>
        <w:pStyle w:val="BodyText"/>
      </w:pPr>
      <w:r>
        <w:t xml:space="preserve">FAST </w:t>
      </w:r>
      <w:r w:rsidR="00D13A6E" w:rsidRPr="00590454">
        <w:t>propose</w:t>
      </w:r>
      <w:r w:rsidR="006F1546">
        <w:t>s</w:t>
      </w:r>
      <w:r w:rsidR="00D13A6E" w:rsidRPr="00590454">
        <w:t xml:space="preserve"> to implement VDT’s taxes in four one-y</w:t>
      </w:r>
      <w:r w:rsidR="00BA1755">
        <w:t xml:space="preserve">ear rollouts over three phases. Since </w:t>
      </w:r>
      <w:r w:rsidR="00D13A6E" w:rsidRPr="00590454">
        <w:t>implementing and rolling out major taxes</w:t>
      </w:r>
      <w:r w:rsidR="00590454">
        <w:t xml:space="preserve"> </w:t>
      </w:r>
      <w:r w:rsidR="00D13A6E" w:rsidRPr="00590454">
        <w:t>simultaneously places an undue strain on an agency’s operations and resources</w:t>
      </w:r>
      <w:r w:rsidR="00BA1755">
        <w:t>, FAST is</w:t>
      </w:r>
      <w:r w:rsidR="00D13A6E" w:rsidRPr="00590454">
        <w:t xml:space="preserve"> proposing to implement personal income tax and sales and use</w:t>
      </w:r>
      <w:r w:rsidR="00590454">
        <w:t xml:space="preserve"> </w:t>
      </w:r>
      <w:r w:rsidR="00D13A6E" w:rsidRPr="00590454">
        <w:t xml:space="preserve">taxes in separate project rollouts. </w:t>
      </w:r>
      <w:r w:rsidR="00BA1755">
        <w:t xml:space="preserve">The </w:t>
      </w:r>
      <w:r w:rsidR="00D13A6E" w:rsidRPr="00590454">
        <w:t>proposed cost and schedule will accommodate VDT’s original</w:t>
      </w:r>
      <w:r w:rsidR="00590454">
        <w:t xml:space="preserve"> </w:t>
      </w:r>
      <w:r w:rsidR="00D13A6E" w:rsidRPr="00590454">
        <w:t xml:space="preserve">phased implementation and deployment plan as outlined in the ITS RFP. </w:t>
      </w:r>
      <w:r w:rsidR="006F1546">
        <w:t xml:space="preserve"> </w:t>
      </w:r>
      <w:r w:rsidR="00BA1755">
        <w:t>FAST proposes a</w:t>
      </w:r>
      <w:r w:rsidR="00D13A6E" w:rsidRPr="00590454">
        <w:t xml:space="preserve"> slight</w:t>
      </w:r>
      <w:r w:rsidR="00590454">
        <w:t xml:space="preserve"> </w:t>
      </w:r>
      <w:r w:rsidR="00BA1755">
        <w:t>alteration to VDT’s proposed</w:t>
      </w:r>
      <w:r w:rsidR="00D13A6E" w:rsidRPr="00590454">
        <w:t xml:space="preserve"> plan</w:t>
      </w:r>
      <w:r w:rsidR="00BA1755">
        <w:t xml:space="preserve"> to reduce</w:t>
      </w:r>
      <w:r w:rsidR="00D13A6E" w:rsidRPr="00590454">
        <w:t xml:space="preserve"> project</w:t>
      </w:r>
      <w:r w:rsidR="00590454">
        <w:t xml:space="preserve"> </w:t>
      </w:r>
      <w:r w:rsidR="00D13A6E" w:rsidRPr="00590454">
        <w:t>risk and provides the agency with a more consistent and manageable workload.</w:t>
      </w:r>
    </w:p>
    <w:p w14:paraId="0A40A621" w14:textId="7792CDE9" w:rsidR="006F1546" w:rsidRDefault="006F1546" w:rsidP="00116539">
      <w:pPr>
        <w:pStyle w:val="BodyText"/>
      </w:pPr>
      <w:r>
        <w:t xml:space="preserve">Based on FAST’s track record of successful implementation in one-year increments, it is believed that their timetable is realistic.  Based on a conference call with FAST, it was conveyed to Mathtech that if the timetable is at risk, FAST will </w:t>
      </w:r>
      <w:r w:rsidR="0051590D">
        <w:t>push forward even without the recommended level of state interaction t</w:t>
      </w:r>
      <w:r>
        <w:t xml:space="preserve">o implement </w:t>
      </w:r>
      <w:r w:rsidR="0051590D">
        <w:t xml:space="preserve">according to the project timeline.  </w:t>
      </w:r>
      <w:r>
        <w:t xml:space="preserve">The impact to VDT in that instance could be limited involvement by VDT resources resulting in a need for more intensive training, and a potentially low degree of buy-in from end users.  </w:t>
      </w:r>
    </w:p>
    <w:p w14:paraId="069BBE30" w14:textId="360EFB70" w:rsidR="006F1546" w:rsidRDefault="0051590D" w:rsidP="00116539">
      <w:pPr>
        <w:pStyle w:val="BodyText"/>
      </w:pPr>
      <w:r>
        <w:t>While the timetable is reasonable, VDT must consider the longer-term effects to the Department of FAST’s focus on meeting that timetable.</w:t>
      </w:r>
      <w:r w:rsidR="006F1546">
        <w:t xml:space="preserve"> </w:t>
      </w:r>
    </w:p>
    <w:p w14:paraId="5E755F4A" w14:textId="77777777" w:rsidR="00116539" w:rsidRPr="0051590D" w:rsidRDefault="00116539" w:rsidP="002C388E">
      <w:pPr>
        <w:pStyle w:val="BodyText"/>
        <w:ind w:left="720"/>
        <w:rPr>
          <w:b/>
          <w:i/>
          <w:iCs/>
          <w:color w:val="0000FF"/>
          <w:sz w:val="20"/>
        </w:rPr>
      </w:pPr>
      <w:r w:rsidRPr="0051590D">
        <w:rPr>
          <w:b/>
          <w:i/>
          <w:iCs/>
          <w:color w:val="0000FF"/>
          <w:sz w:val="20"/>
        </w:rPr>
        <w:t>From the FAST Proposal:</w:t>
      </w:r>
    </w:p>
    <w:p w14:paraId="72F60CE6" w14:textId="77777777" w:rsidR="00A33A23" w:rsidRPr="00116539" w:rsidRDefault="00BA1755" w:rsidP="002C388E">
      <w:pPr>
        <w:pStyle w:val="BodyText"/>
        <w:ind w:left="720"/>
        <w:rPr>
          <w:i/>
          <w:iCs/>
          <w:color w:val="0000FF"/>
          <w:sz w:val="20"/>
        </w:rPr>
      </w:pPr>
      <w:r w:rsidRPr="00116539">
        <w:rPr>
          <w:i/>
          <w:iCs/>
          <w:color w:val="0000FF"/>
          <w:sz w:val="20"/>
        </w:rPr>
        <w:t>FAST’s</w:t>
      </w:r>
      <w:r w:rsidR="00BB024E" w:rsidRPr="00116539">
        <w:rPr>
          <w:i/>
          <w:iCs/>
          <w:color w:val="0000FF"/>
          <w:sz w:val="20"/>
        </w:rPr>
        <w:t xml:space="preserve"> approach includes implementation of the processes and functions necessary to meet the</w:t>
      </w:r>
      <w:r w:rsidR="00A33A23" w:rsidRPr="00116539">
        <w:rPr>
          <w:i/>
          <w:iCs/>
          <w:color w:val="0000FF"/>
          <w:sz w:val="20"/>
        </w:rPr>
        <w:t xml:space="preserve"> </w:t>
      </w:r>
      <w:r w:rsidR="00BB024E" w:rsidRPr="00116539">
        <w:rPr>
          <w:i/>
          <w:iCs/>
          <w:color w:val="0000FF"/>
          <w:sz w:val="20"/>
        </w:rPr>
        <w:t>requirements of the RFP, as well as a number of additional functions and processes necessary for a</w:t>
      </w:r>
      <w:r w:rsidR="00A33A23" w:rsidRPr="00116539">
        <w:rPr>
          <w:i/>
          <w:iCs/>
          <w:color w:val="0000FF"/>
          <w:sz w:val="20"/>
        </w:rPr>
        <w:t xml:space="preserve"> </w:t>
      </w:r>
      <w:r w:rsidR="00BB024E" w:rsidRPr="00116539">
        <w:rPr>
          <w:i/>
          <w:iCs/>
          <w:color w:val="0000FF"/>
          <w:sz w:val="20"/>
        </w:rPr>
        <w:t>robust, comprehensive, and mode</w:t>
      </w:r>
      <w:r w:rsidRPr="00116539">
        <w:rPr>
          <w:i/>
          <w:iCs/>
          <w:color w:val="0000FF"/>
          <w:sz w:val="20"/>
        </w:rPr>
        <w:t>rnized integrated tax system. FAST</w:t>
      </w:r>
      <w:r w:rsidR="00BB024E" w:rsidRPr="00116539">
        <w:rPr>
          <w:i/>
          <w:iCs/>
          <w:color w:val="0000FF"/>
          <w:sz w:val="20"/>
        </w:rPr>
        <w:t xml:space="preserve"> typically do</w:t>
      </w:r>
      <w:r w:rsidRPr="00116539">
        <w:rPr>
          <w:i/>
          <w:iCs/>
          <w:color w:val="0000FF"/>
          <w:sz w:val="20"/>
        </w:rPr>
        <w:t>es</w:t>
      </w:r>
      <w:r w:rsidR="00BB024E" w:rsidRPr="00116539">
        <w:rPr>
          <w:i/>
          <w:iCs/>
          <w:color w:val="0000FF"/>
          <w:sz w:val="20"/>
        </w:rPr>
        <w:t xml:space="preserve"> not implement</w:t>
      </w:r>
      <w:r w:rsidR="00A33A23" w:rsidRPr="00116539">
        <w:rPr>
          <w:i/>
          <w:iCs/>
          <w:color w:val="0000FF"/>
          <w:sz w:val="20"/>
        </w:rPr>
        <w:t xml:space="preserve"> </w:t>
      </w:r>
      <w:r w:rsidR="00BB024E" w:rsidRPr="00116539">
        <w:rPr>
          <w:i/>
          <w:iCs/>
          <w:color w:val="0000FF"/>
          <w:sz w:val="20"/>
        </w:rPr>
        <w:t>functionality in phases</w:t>
      </w:r>
      <w:r w:rsidRPr="00116539">
        <w:rPr>
          <w:i/>
          <w:iCs/>
          <w:color w:val="0000FF"/>
          <w:sz w:val="20"/>
        </w:rPr>
        <w:t xml:space="preserve"> but rather</w:t>
      </w:r>
      <w:r w:rsidR="00BB024E" w:rsidRPr="00116539">
        <w:rPr>
          <w:i/>
          <w:iCs/>
          <w:color w:val="0000FF"/>
          <w:sz w:val="20"/>
        </w:rPr>
        <w:t xml:space="preserve"> all GenTax functionality will be installed and available upon rollout to production. Interfaces with VDT’s Revenue Accounting System, data warehouse,</w:t>
      </w:r>
      <w:r w:rsidR="00A33A23" w:rsidRPr="00116539">
        <w:rPr>
          <w:i/>
          <w:iCs/>
          <w:color w:val="0000FF"/>
          <w:sz w:val="20"/>
        </w:rPr>
        <w:t xml:space="preserve"> </w:t>
      </w:r>
      <w:r w:rsidR="00BB024E" w:rsidRPr="00116539">
        <w:rPr>
          <w:i/>
          <w:iCs/>
          <w:color w:val="0000FF"/>
          <w:sz w:val="20"/>
        </w:rPr>
        <w:t>and legacy systems will be live in Phase 1 of the project.</w:t>
      </w:r>
      <w:r w:rsidR="00A33A23" w:rsidRPr="00116539">
        <w:rPr>
          <w:i/>
          <w:iCs/>
          <w:color w:val="0000FF"/>
          <w:sz w:val="20"/>
        </w:rPr>
        <w:t xml:space="preserve"> </w:t>
      </w:r>
    </w:p>
    <w:p w14:paraId="62E40005" w14:textId="77777777" w:rsidR="00A071EB" w:rsidRDefault="00BA1755" w:rsidP="002C388E">
      <w:pPr>
        <w:pStyle w:val="BodyText"/>
        <w:ind w:left="720"/>
        <w:rPr>
          <w:i/>
          <w:iCs/>
          <w:color w:val="0000FF"/>
          <w:sz w:val="20"/>
        </w:rPr>
      </w:pPr>
      <w:r w:rsidRPr="00116539">
        <w:rPr>
          <w:i/>
          <w:iCs/>
          <w:color w:val="0000FF"/>
          <w:sz w:val="20"/>
        </w:rPr>
        <w:t>The</w:t>
      </w:r>
      <w:r w:rsidR="00851BCF" w:rsidRPr="00116539">
        <w:rPr>
          <w:i/>
          <w:iCs/>
          <w:color w:val="0000FF"/>
          <w:sz w:val="20"/>
        </w:rPr>
        <w:t xml:space="preserve"> FAST</w:t>
      </w:r>
      <w:r w:rsidRPr="00116539">
        <w:rPr>
          <w:i/>
          <w:iCs/>
          <w:color w:val="0000FF"/>
          <w:sz w:val="20"/>
        </w:rPr>
        <w:t xml:space="preserve"> proposed rollouts by tax type are described in the table below.</w:t>
      </w:r>
      <w:r w:rsidR="00A071EB">
        <w:rPr>
          <w:i/>
          <w:iCs/>
          <w:color w:val="0000FF"/>
          <w:sz w:val="20"/>
        </w:rPr>
        <w:t xml:space="preserve">  </w:t>
      </w:r>
    </w:p>
    <w:p w14:paraId="72F60CE8" w14:textId="5FE1A891" w:rsidR="00BB024E" w:rsidRPr="00544F45" w:rsidRDefault="00A071EB" w:rsidP="002C388E">
      <w:pPr>
        <w:pStyle w:val="BodyText"/>
        <w:ind w:left="720"/>
        <w:rPr>
          <w:b/>
          <w:i/>
          <w:iCs/>
          <w:color w:val="0000FF"/>
          <w:sz w:val="20"/>
        </w:rPr>
      </w:pPr>
      <w:r w:rsidRPr="00544F45">
        <w:rPr>
          <w:b/>
          <w:i/>
          <w:iCs/>
          <w:color w:val="0000FF"/>
          <w:sz w:val="20"/>
        </w:rPr>
        <w:t>Note that this rollout timing reflects an update received during the December 12</w:t>
      </w:r>
      <w:r w:rsidRPr="00544F45">
        <w:rPr>
          <w:b/>
          <w:i/>
          <w:iCs/>
          <w:color w:val="0000FF"/>
          <w:sz w:val="20"/>
          <w:vertAlign w:val="superscript"/>
        </w:rPr>
        <w:t>th</w:t>
      </w:r>
      <w:r w:rsidRPr="00544F45">
        <w:rPr>
          <w:b/>
          <w:i/>
          <w:iCs/>
          <w:color w:val="0000FF"/>
          <w:sz w:val="20"/>
        </w:rPr>
        <w:t xml:space="preserve"> review session with VDT and DII.</w:t>
      </w:r>
    </w:p>
    <w:tbl>
      <w:tblPr>
        <w:tblStyle w:val="TableGrid"/>
        <w:tblW w:w="0" w:type="auto"/>
        <w:tblLook w:val="00A0" w:firstRow="1" w:lastRow="0" w:firstColumn="1" w:lastColumn="0" w:noHBand="0" w:noVBand="0"/>
      </w:tblPr>
      <w:tblGrid>
        <w:gridCol w:w="4514"/>
        <w:gridCol w:w="4515"/>
      </w:tblGrid>
      <w:tr w:rsidR="00A33A23" w:rsidRPr="0051590D" w14:paraId="72F60CEC" w14:textId="77777777" w:rsidTr="0051590D">
        <w:trPr>
          <w:cantSplit/>
        </w:trPr>
        <w:tc>
          <w:tcPr>
            <w:tcW w:w="4514" w:type="dxa"/>
            <w:shd w:val="clear" w:color="auto" w:fill="E0E0E0"/>
          </w:tcPr>
          <w:p w14:paraId="72F60CEA" w14:textId="77777777" w:rsidR="00A33A23" w:rsidRPr="0051590D" w:rsidRDefault="00D504AA" w:rsidP="00BB024E">
            <w:pPr>
              <w:widowControl w:val="0"/>
              <w:autoSpaceDE w:val="0"/>
              <w:autoSpaceDN w:val="0"/>
              <w:adjustRightInd w:val="0"/>
              <w:rPr>
                <w:rFonts w:cs="Arial"/>
                <w:i/>
                <w:color w:val="0000FF"/>
                <w:sz w:val="18"/>
                <w:szCs w:val="18"/>
              </w:rPr>
            </w:pPr>
            <w:r w:rsidRPr="0051590D">
              <w:rPr>
                <w:rFonts w:cs="Arial"/>
                <w:i/>
                <w:color w:val="0000FF"/>
                <w:sz w:val="18"/>
                <w:szCs w:val="18"/>
              </w:rPr>
              <w:t>Phase 1 – Rollout 1 (12 months)</w:t>
            </w:r>
          </w:p>
        </w:tc>
        <w:tc>
          <w:tcPr>
            <w:tcW w:w="4515" w:type="dxa"/>
            <w:shd w:val="clear" w:color="auto" w:fill="E0E0E0"/>
          </w:tcPr>
          <w:p w14:paraId="72F60CEB" w14:textId="77777777" w:rsidR="00A33A23" w:rsidRPr="0051590D" w:rsidRDefault="00D504AA" w:rsidP="00BB024E">
            <w:pPr>
              <w:widowControl w:val="0"/>
              <w:autoSpaceDE w:val="0"/>
              <w:autoSpaceDN w:val="0"/>
              <w:adjustRightInd w:val="0"/>
              <w:rPr>
                <w:rFonts w:cs="Arial"/>
                <w:i/>
                <w:color w:val="0000FF"/>
                <w:sz w:val="18"/>
                <w:szCs w:val="18"/>
              </w:rPr>
            </w:pPr>
            <w:r w:rsidRPr="0051590D">
              <w:rPr>
                <w:rFonts w:cs="Arial"/>
                <w:i/>
                <w:color w:val="0000FF"/>
                <w:sz w:val="18"/>
                <w:szCs w:val="18"/>
              </w:rPr>
              <w:t>Phase 2 – Rollout 2 (12 months)</w:t>
            </w:r>
          </w:p>
        </w:tc>
      </w:tr>
      <w:tr w:rsidR="00A33A23" w:rsidRPr="0051590D" w14:paraId="72F60CFC" w14:textId="77777777" w:rsidTr="0051590D">
        <w:trPr>
          <w:cantSplit/>
        </w:trPr>
        <w:tc>
          <w:tcPr>
            <w:tcW w:w="4514" w:type="dxa"/>
            <w:tcBorders>
              <w:bottom w:val="single" w:sz="4" w:space="0" w:color="auto"/>
            </w:tcBorders>
          </w:tcPr>
          <w:p w14:paraId="72F60CED" w14:textId="77777777" w:rsidR="00D504AA" w:rsidRPr="0051590D" w:rsidRDefault="00D504AA" w:rsidP="00D504AA">
            <w:pPr>
              <w:widowControl w:val="0"/>
              <w:autoSpaceDE w:val="0"/>
              <w:autoSpaceDN w:val="0"/>
              <w:adjustRightInd w:val="0"/>
              <w:rPr>
                <w:rFonts w:cs="Arial"/>
                <w:i/>
                <w:color w:val="0000FF"/>
                <w:sz w:val="18"/>
                <w:szCs w:val="18"/>
              </w:rPr>
            </w:pPr>
            <w:r w:rsidRPr="0051590D">
              <w:rPr>
                <w:rFonts w:cs="Arial"/>
                <w:i/>
                <w:color w:val="0000FF"/>
                <w:sz w:val="18"/>
                <w:szCs w:val="18"/>
              </w:rPr>
              <w:t>• Corporate Income Tax</w:t>
            </w:r>
          </w:p>
          <w:p w14:paraId="72F60CEE" w14:textId="77777777" w:rsidR="00D504AA" w:rsidRPr="0051590D" w:rsidRDefault="00D504AA" w:rsidP="00D504AA">
            <w:pPr>
              <w:widowControl w:val="0"/>
              <w:autoSpaceDE w:val="0"/>
              <w:autoSpaceDN w:val="0"/>
              <w:adjustRightInd w:val="0"/>
              <w:rPr>
                <w:rFonts w:cs="Arial"/>
                <w:i/>
                <w:color w:val="0000FF"/>
                <w:sz w:val="18"/>
                <w:szCs w:val="18"/>
              </w:rPr>
            </w:pPr>
            <w:r w:rsidRPr="0051590D">
              <w:rPr>
                <w:rFonts w:cs="Arial"/>
                <w:i/>
                <w:color w:val="0000FF"/>
                <w:sz w:val="18"/>
                <w:szCs w:val="18"/>
              </w:rPr>
              <w:t>• Business Income Tax</w:t>
            </w:r>
          </w:p>
          <w:p w14:paraId="72F60CEF" w14:textId="77777777" w:rsidR="00D504AA" w:rsidRPr="0051590D" w:rsidRDefault="00D504AA" w:rsidP="00D504AA">
            <w:pPr>
              <w:widowControl w:val="0"/>
              <w:autoSpaceDE w:val="0"/>
              <w:autoSpaceDN w:val="0"/>
              <w:adjustRightInd w:val="0"/>
              <w:rPr>
                <w:rFonts w:cs="Arial"/>
                <w:i/>
                <w:color w:val="0000FF"/>
                <w:sz w:val="18"/>
                <w:szCs w:val="18"/>
              </w:rPr>
            </w:pPr>
            <w:r w:rsidRPr="0051590D">
              <w:rPr>
                <w:rFonts w:cs="Arial"/>
                <w:i/>
                <w:color w:val="0000FF"/>
                <w:sz w:val="18"/>
                <w:szCs w:val="18"/>
              </w:rPr>
              <w:t>• Fuel Gross Receipts</w:t>
            </w:r>
          </w:p>
          <w:p w14:paraId="72F60CF0" w14:textId="77777777" w:rsidR="00D504AA" w:rsidRPr="0051590D" w:rsidRDefault="00D504AA" w:rsidP="00D504AA">
            <w:pPr>
              <w:widowControl w:val="0"/>
              <w:autoSpaceDE w:val="0"/>
              <w:autoSpaceDN w:val="0"/>
              <w:adjustRightInd w:val="0"/>
              <w:rPr>
                <w:rFonts w:cs="Arial"/>
                <w:i/>
                <w:color w:val="0000FF"/>
                <w:sz w:val="18"/>
                <w:szCs w:val="18"/>
              </w:rPr>
            </w:pPr>
            <w:r w:rsidRPr="0051590D">
              <w:rPr>
                <w:rFonts w:cs="Arial"/>
                <w:i/>
                <w:color w:val="0000FF"/>
                <w:sz w:val="18"/>
                <w:szCs w:val="18"/>
              </w:rPr>
              <w:t>• Property Transfer Tax</w:t>
            </w:r>
          </w:p>
          <w:p w14:paraId="72F60CF1" w14:textId="77777777" w:rsidR="00A33A23" w:rsidRPr="0051590D" w:rsidRDefault="00D504AA" w:rsidP="00BB024E">
            <w:pPr>
              <w:widowControl w:val="0"/>
              <w:autoSpaceDE w:val="0"/>
              <w:autoSpaceDN w:val="0"/>
              <w:adjustRightInd w:val="0"/>
              <w:rPr>
                <w:rFonts w:cs="Arial"/>
                <w:i/>
                <w:color w:val="0000FF"/>
                <w:sz w:val="18"/>
                <w:szCs w:val="18"/>
              </w:rPr>
            </w:pPr>
            <w:r w:rsidRPr="0051590D">
              <w:rPr>
                <w:rFonts w:cs="Arial"/>
                <w:i/>
                <w:color w:val="0000FF"/>
                <w:sz w:val="18"/>
                <w:szCs w:val="18"/>
              </w:rPr>
              <w:t>• Non-Resident Withholding</w:t>
            </w:r>
          </w:p>
        </w:tc>
        <w:tc>
          <w:tcPr>
            <w:tcW w:w="4515" w:type="dxa"/>
            <w:tcBorders>
              <w:bottom w:val="single" w:sz="4" w:space="0" w:color="auto"/>
            </w:tcBorders>
          </w:tcPr>
          <w:p w14:paraId="140E5977" w14:textId="3353667A"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w:t>
            </w:r>
            <w:r>
              <w:rPr>
                <w:rFonts w:cs="Arial"/>
                <w:i/>
                <w:color w:val="0000FF"/>
                <w:sz w:val="18"/>
                <w:szCs w:val="18"/>
              </w:rPr>
              <w:t xml:space="preserve"> </w:t>
            </w:r>
            <w:r w:rsidRPr="0051590D">
              <w:rPr>
                <w:rFonts w:cs="Arial"/>
                <w:i/>
                <w:color w:val="0000FF"/>
                <w:sz w:val="18"/>
                <w:szCs w:val="18"/>
              </w:rPr>
              <w:t>Sales and Use Tax</w:t>
            </w:r>
          </w:p>
          <w:p w14:paraId="058AE0B5"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Meals and Rooms Tax</w:t>
            </w:r>
          </w:p>
          <w:p w14:paraId="3BDB3541"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Local Option Sales Tax</w:t>
            </w:r>
          </w:p>
          <w:p w14:paraId="72F60CFB" w14:textId="2B34803F" w:rsidR="00A071EB" w:rsidRPr="0051590D" w:rsidRDefault="00A071EB" w:rsidP="00BB024E">
            <w:pPr>
              <w:widowControl w:val="0"/>
              <w:autoSpaceDE w:val="0"/>
              <w:autoSpaceDN w:val="0"/>
              <w:adjustRightInd w:val="0"/>
              <w:rPr>
                <w:rFonts w:cs="Arial"/>
                <w:i/>
                <w:color w:val="0000FF"/>
                <w:sz w:val="18"/>
                <w:szCs w:val="18"/>
              </w:rPr>
            </w:pPr>
            <w:r w:rsidRPr="0051590D">
              <w:rPr>
                <w:rFonts w:cs="Arial"/>
                <w:i/>
                <w:color w:val="0000FF"/>
                <w:sz w:val="18"/>
                <w:szCs w:val="18"/>
              </w:rPr>
              <w:t>• Local Option Meals and Room Tax</w:t>
            </w:r>
          </w:p>
        </w:tc>
      </w:tr>
    </w:tbl>
    <w:p w14:paraId="22B2D9E9" w14:textId="3DEF43EE" w:rsidR="0051590D" w:rsidRDefault="0051590D"/>
    <w:p w14:paraId="425E81CE" w14:textId="77777777" w:rsidR="0051590D" w:rsidRDefault="0051590D"/>
    <w:p w14:paraId="3EA6A496" w14:textId="77777777" w:rsidR="0051590D" w:rsidRDefault="0051590D"/>
    <w:p w14:paraId="1A04E5C9" w14:textId="77777777" w:rsidR="0051590D" w:rsidRDefault="0051590D"/>
    <w:p w14:paraId="48F01AF3" w14:textId="77777777" w:rsidR="0051590D" w:rsidRDefault="0051590D"/>
    <w:p w14:paraId="702A94E6" w14:textId="77777777" w:rsidR="00A071EB" w:rsidRDefault="00A071EB"/>
    <w:p w14:paraId="2C9F23C8" w14:textId="77777777" w:rsidR="00A071EB" w:rsidRDefault="00A071EB"/>
    <w:p w14:paraId="702C7C9B" w14:textId="77777777" w:rsidR="00A071EB" w:rsidRDefault="00A071EB"/>
    <w:p w14:paraId="3E46A854" w14:textId="77777777" w:rsidR="0051590D" w:rsidRDefault="0051590D"/>
    <w:p w14:paraId="37B4865E" w14:textId="77777777" w:rsidR="0051590D" w:rsidRDefault="0051590D"/>
    <w:p w14:paraId="2393948C" w14:textId="77777777" w:rsidR="0051590D" w:rsidRDefault="0051590D"/>
    <w:p w14:paraId="6FB694E0" w14:textId="77777777" w:rsidR="0051590D" w:rsidRDefault="0051590D"/>
    <w:p w14:paraId="4A7A434B" w14:textId="77777777" w:rsidR="0051590D" w:rsidRDefault="0051590D"/>
    <w:tbl>
      <w:tblPr>
        <w:tblStyle w:val="TableGrid"/>
        <w:tblW w:w="0" w:type="auto"/>
        <w:tblLook w:val="00A0" w:firstRow="1" w:lastRow="0" w:firstColumn="1" w:lastColumn="0" w:noHBand="0" w:noVBand="0"/>
      </w:tblPr>
      <w:tblGrid>
        <w:gridCol w:w="4514"/>
        <w:gridCol w:w="4515"/>
      </w:tblGrid>
      <w:tr w:rsidR="00A33A23" w:rsidRPr="0051590D" w14:paraId="72F60CFF" w14:textId="77777777" w:rsidTr="0051590D">
        <w:trPr>
          <w:cantSplit/>
        </w:trPr>
        <w:tc>
          <w:tcPr>
            <w:tcW w:w="4514" w:type="dxa"/>
            <w:shd w:val="clear" w:color="auto" w:fill="E0E0E0"/>
          </w:tcPr>
          <w:p w14:paraId="72F60CFD" w14:textId="77777777" w:rsidR="00A33A23" w:rsidRPr="0051590D" w:rsidRDefault="00D504AA" w:rsidP="00BB024E">
            <w:pPr>
              <w:widowControl w:val="0"/>
              <w:autoSpaceDE w:val="0"/>
              <w:autoSpaceDN w:val="0"/>
              <w:adjustRightInd w:val="0"/>
              <w:rPr>
                <w:rFonts w:cs="Arial"/>
                <w:i/>
                <w:color w:val="0000FF"/>
                <w:sz w:val="18"/>
                <w:szCs w:val="18"/>
              </w:rPr>
            </w:pPr>
            <w:r w:rsidRPr="0051590D">
              <w:rPr>
                <w:rFonts w:cs="Arial"/>
                <w:i/>
                <w:color w:val="0000FF"/>
                <w:sz w:val="18"/>
                <w:szCs w:val="18"/>
              </w:rPr>
              <w:t>Phase 3a – Rollout 3 (12 months)</w:t>
            </w:r>
          </w:p>
        </w:tc>
        <w:tc>
          <w:tcPr>
            <w:tcW w:w="4515" w:type="dxa"/>
            <w:shd w:val="clear" w:color="auto" w:fill="E0E0E0"/>
          </w:tcPr>
          <w:p w14:paraId="72F60CFE" w14:textId="77777777" w:rsidR="00A33A23" w:rsidRPr="0051590D" w:rsidRDefault="00D504AA" w:rsidP="00BB024E">
            <w:pPr>
              <w:widowControl w:val="0"/>
              <w:autoSpaceDE w:val="0"/>
              <w:autoSpaceDN w:val="0"/>
              <w:adjustRightInd w:val="0"/>
              <w:rPr>
                <w:rFonts w:cs="Arial"/>
                <w:i/>
                <w:color w:val="0000FF"/>
                <w:sz w:val="18"/>
                <w:szCs w:val="18"/>
              </w:rPr>
            </w:pPr>
            <w:r w:rsidRPr="0051590D">
              <w:rPr>
                <w:rFonts w:cs="Arial"/>
                <w:i/>
                <w:color w:val="0000FF"/>
                <w:sz w:val="18"/>
                <w:szCs w:val="18"/>
              </w:rPr>
              <w:t>Phase 3b – Rollout 4 (12 months)</w:t>
            </w:r>
          </w:p>
        </w:tc>
      </w:tr>
      <w:tr w:rsidR="00A33A23" w:rsidRPr="0051590D" w14:paraId="72F60D1D" w14:textId="77777777" w:rsidTr="0051590D">
        <w:trPr>
          <w:cantSplit/>
        </w:trPr>
        <w:tc>
          <w:tcPr>
            <w:tcW w:w="4514" w:type="dxa"/>
          </w:tcPr>
          <w:p w14:paraId="33D5B625"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Corporate Income Tax</w:t>
            </w:r>
          </w:p>
          <w:p w14:paraId="28B97E69"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Personal Income Tax</w:t>
            </w:r>
          </w:p>
          <w:p w14:paraId="6F335B3B"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xml:space="preserve">    o Renter’s rebate</w:t>
            </w:r>
          </w:p>
          <w:p w14:paraId="203FE584"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xml:space="preserve">    o Real estate withholding</w:t>
            </w:r>
          </w:p>
          <w:p w14:paraId="4E54AED3"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xml:space="preserve">    o Property Tax Rebate</w:t>
            </w:r>
          </w:p>
          <w:p w14:paraId="21C3C57F"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Payroll Withholding</w:t>
            </w:r>
          </w:p>
          <w:p w14:paraId="6E7C61BD"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Non-Resident Withholding</w:t>
            </w:r>
          </w:p>
          <w:p w14:paraId="34BE903D"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Non-Game Wildlife (fund)</w:t>
            </w:r>
          </w:p>
          <w:p w14:paraId="0DB04250" w14:textId="77777777" w:rsidR="00A071EB" w:rsidRPr="0051590D"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Children's Trust (fund)</w:t>
            </w:r>
          </w:p>
          <w:p w14:paraId="142D95BA" w14:textId="3DECBBD9" w:rsidR="00A071EB" w:rsidRDefault="00A071EB" w:rsidP="00A071EB">
            <w:pPr>
              <w:widowControl w:val="0"/>
              <w:autoSpaceDE w:val="0"/>
              <w:autoSpaceDN w:val="0"/>
              <w:adjustRightInd w:val="0"/>
              <w:rPr>
                <w:rFonts w:cs="Arial"/>
                <w:i/>
                <w:color w:val="0000FF"/>
                <w:sz w:val="18"/>
                <w:szCs w:val="18"/>
              </w:rPr>
            </w:pPr>
            <w:r w:rsidRPr="0051590D">
              <w:rPr>
                <w:rFonts w:cs="Arial"/>
                <w:i/>
                <w:color w:val="0000FF"/>
                <w:sz w:val="18"/>
                <w:szCs w:val="18"/>
              </w:rPr>
              <w:t>• Vermont Veteran's (fund)</w:t>
            </w:r>
          </w:p>
          <w:p w14:paraId="72F60D04" w14:textId="77777777" w:rsidR="00A7376C" w:rsidRPr="0051590D" w:rsidRDefault="00A7376C" w:rsidP="00A7376C">
            <w:pPr>
              <w:widowControl w:val="0"/>
              <w:autoSpaceDE w:val="0"/>
              <w:autoSpaceDN w:val="0"/>
              <w:adjustRightInd w:val="0"/>
              <w:rPr>
                <w:rFonts w:cs="Arial"/>
                <w:i/>
                <w:color w:val="0000FF"/>
                <w:sz w:val="18"/>
                <w:szCs w:val="18"/>
              </w:rPr>
            </w:pPr>
            <w:r w:rsidRPr="0051590D">
              <w:rPr>
                <w:rFonts w:cs="Arial"/>
                <w:i/>
                <w:color w:val="0000FF"/>
                <w:sz w:val="18"/>
                <w:szCs w:val="18"/>
              </w:rPr>
              <w:t>• Cigarette Tax</w:t>
            </w:r>
          </w:p>
          <w:p w14:paraId="72F60D05" w14:textId="77777777" w:rsidR="00A7376C" w:rsidRPr="0051590D" w:rsidRDefault="00A7376C" w:rsidP="00A7376C">
            <w:pPr>
              <w:widowControl w:val="0"/>
              <w:autoSpaceDE w:val="0"/>
              <w:autoSpaceDN w:val="0"/>
              <w:adjustRightInd w:val="0"/>
              <w:rPr>
                <w:rFonts w:cs="Arial"/>
                <w:i/>
                <w:color w:val="0000FF"/>
                <w:sz w:val="18"/>
                <w:szCs w:val="18"/>
              </w:rPr>
            </w:pPr>
            <w:r w:rsidRPr="0051590D">
              <w:rPr>
                <w:rFonts w:cs="Arial"/>
                <w:i/>
                <w:color w:val="0000FF"/>
                <w:sz w:val="18"/>
                <w:szCs w:val="18"/>
              </w:rPr>
              <w:t>• Tobacco Products Tax</w:t>
            </w:r>
          </w:p>
          <w:p w14:paraId="72F60D06" w14:textId="77777777" w:rsidR="00A7376C" w:rsidRPr="0051590D" w:rsidRDefault="00A7376C" w:rsidP="00A7376C">
            <w:pPr>
              <w:widowControl w:val="0"/>
              <w:autoSpaceDE w:val="0"/>
              <w:autoSpaceDN w:val="0"/>
              <w:adjustRightInd w:val="0"/>
              <w:rPr>
                <w:rFonts w:cs="Arial"/>
                <w:i/>
                <w:color w:val="0000FF"/>
                <w:sz w:val="18"/>
                <w:szCs w:val="18"/>
              </w:rPr>
            </w:pPr>
            <w:r w:rsidRPr="0051590D">
              <w:rPr>
                <w:rFonts w:cs="Arial"/>
                <w:i/>
                <w:color w:val="0000FF"/>
                <w:sz w:val="18"/>
                <w:szCs w:val="18"/>
              </w:rPr>
              <w:t>• Fiduciary</w:t>
            </w:r>
          </w:p>
          <w:p w14:paraId="72F60D07" w14:textId="77777777" w:rsidR="00A7376C" w:rsidRPr="0051590D" w:rsidRDefault="00A7376C" w:rsidP="00A7376C">
            <w:pPr>
              <w:widowControl w:val="0"/>
              <w:autoSpaceDE w:val="0"/>
              <w:autoSpaceDN w:val="0"/>
              <w:adjustRightInd w:val="0"/>
              <w:rPr>
                <w:rFonts w:cs="Arial"/>
                <w:i/>
                <w:color w:val="0000FF"/>
                <w:sz w:val="18"/>
                <w:szCs w:val="18"/>
              </w:rPr>
            </w:pPr>
            <w:r w:rsidRPr="0051590D">
              <w:rPr>
                <w:rFonts w:cs="Arial"/>
                <w:i/>
                <w:color w:val="0000FF"/>
                <w:sz w:val="18"/>
                <w:szCs w:val="18"/>
              </w:rPr>
              <w:t>• Estate Tax</w:t>
            </w:r>
          </w:p>
          <w:p w14:paraId="72F60D08" w14:textId="77777777" w:rsidR="00A7376C" w:rsidRPr="0051590D" w:rsidRDefault="00A7376C" w:rsidP="00A7376C">
            <w:pPr>
              <w:widowControl w:val="0"/>
              <w:autoSpaceDE w:val="0"/>
              <w:autoSpaceDN w:val="0"/>
              <w:adjustRightInd w:val="0"/>
              <w:rPr>
                <w:rFonts w:cs="Arial"/>
                <w:i/>
                <w:color w:val="0000FF"/>
                <w:sz w:val="18"/>
                <w:szCs w:val="18"/>
              </w:rPr>
            </w:pPr>
            <w:r w:rsidRPr="0051590D">
              <w:rPr>
                <w:rFonts w:cs="Arial"/>
                <w:i/>
                <w:color w:val="0000FF"/>
                <w:sz w:val="18"/>
                <w:szCs w:val="18"/>
              </w:rPr>
              <w:t>• Beverage Tax</w:t>
            </w:r>
          </w:p>
          <w:p w14:paraId="72F60D09" w14:textId="77777777" w:rsidR="00A33A23" w:rsidRPr="0051590D" w:rsidRDefault="00A7376C" w:rsidP="00BB024E">
            <w:pPr>
              <w:widowControl w:val="0"/>
              <w:autoSpaceDE w:val="0"/>
              <w:autoSpaceDN w:val="0"/>
              <w:adjustRightInd w:val="0"/>
              <w:rPr>
                <w:rFonts w:cs="Arial"/>
                <w:i/>
                <w:color w:val="0000FF"/>
                <w:sz w:val="18"/>
                <w:szCs w:val="18"/>
              </w:rPr>
            </w:pPr>
            <w:r w:rsidRPr="0051590D">
              <w:rPr>
                <w:rFonts w:cs="Arial"/>
                <w:i/>
                <w:color w:val="0000FF"/>
                <w:sz w:val="18"/>
                <w:szCs w:val="18"/>
              </w:rPr>
              <w:t>• Bank Franchise Tax</w:t>
            </w:r>
          </w:p>
        </w:tc>
        <w:tc>
          <w:tcPr>
            <w:tcW w:w="4515" w:type="dxa"/>
          </w:tcPr>
          <w:p w14:paraId="72F60D0A"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Insurance Tax</w:t>
            </w:r>
          </w:p>
          <w:p w14:paraId="72F60D0B"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Captive Insurance Tax</w:t>
            </w:r>
          </w:p>
          <w:p w14:paraId="72F60D0C"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Telephone Property Tax</w:t>
            </w:r>
          </w:p>
          <w:p w14:paraId="72F60D0D"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Electric Energy Tax</w:t>
            </w:r>
          </w:p>
          <w:p w14:paraId="72F60D0E"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Solid Waste Tax</w:t>
            </w:r>
          </w:p>
          <w:p w14:paraId="72F60D0F"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EEE Property Tax</w:t>
            </w:r>
          </w:p>
          <w:p w14:paraId="72F60D10"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Fire Training Tax</w:t>
            </w:r>
          </w:p>
          <w:p w14:paraId="72F60D11"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Land Gains Tax</w:t>
            </w:r>
          </w:p>
          <w:p w14:paraId="72F60D12"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Floor Stock Tax</w:t>
            </w:r>
          </w:p>
          <w:p w14:paraId="72F60D13"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Tax-Def-Gen Special Fund</w:t>
            </w:r>
          </w:p>
          <w:p w14:paraId="72F60D14"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Land Use Change Tax</w:t>
            </w:r>
          </w:p>
          <w:p w14:paraId="72F60D15"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Hazardous Waste Tax</w:t>
            </w:r>
          </w:p>
          <w:p w14:paraId="72F60D16"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Telephone Company Tax</w:t>
            </w:r>
          </w:p>
          <w:p w14:paraId="72F60D17"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Railroad Company Tax</w:t>
            </w:r>
          </w:p>
          <w:p w14:paraId="72F60D18"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Wind Property Tax</w:t>
            </w:r>
          </w:p>
          <w:p w14:paraId="72F60D19"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Tax-Break-Open Ticket License Fee</w:t>
            </w:r>
          </w:p>
          <w:p w14:paraId="72F60D1A"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Court Cost Recovery</w:t>
            </w:r>
          </w:p>
          <w:p w14:paraId="72F60D1B" w14:textId="77777777" w:rsidR="00236FDC" w:rsidRPr="0051590D" w:rsidRDefault="00236FDC" w:rsidP="00236FDC">
            <w:pPr>
              <w:widowControl w:val="0"/>
              <w:autoSpaceDE w:val="0"/>
              <w:autoSpaceDN w:val="0"/>
              <w:adjustRightInd w:val="0"/>
              <w:rPr>
                <w:rFonts w:cs="Arial"/>
                <w:i/>
                <w:color w:val="0000FF"/>
                <w:sz w:val="18"/>
                <w:szCs w:val="18"/>
              </w:rPr>
            </w:pPr>
            <w:r w:rsidRPr="0051590D">
              <w:rPr>
                <w:rFonts w:cs="Arial"/>
                <w:i/>
                <w:color w:val="0000FF"/>
                <w:sz w:val="18"/>
                <w:szCs w:val="18"/>
              </w:rPr>
              <w:t>• Solar Tax</w:t>
            </w:r>
          </w:p>
          <w:p w14:paraId="72F60D1C" w14:textId="77777777" w:rsidR="00A33A23" w:rsidRPr="0051590D" w:rsidRDefault="00236FDC" w:rsidP="00236FDC">
            <w:pPr>
              <w:pStyle w:val="BodyText"/>
              <w:rPr>
                <w:rFonts w:cs="Arial"/>
                <w:i/>
                <w:color w:val="0000FF"/>
                <w:sz w:val="18"/>
                <w:szCs w:val="18"/>
              </w:rPr>
            </w:pPr>
            <w:r w:rsidRPr="0051590D">
              <w:rPr>
                <w:rFonts w:cs="Arial"/>
                <w:i/>
                <w:color w:val="0000FF"/>
                <w:sz w:val="18"/>
                <w:szCs w:val="18"/>
              </w:rPr>
              <w:t>• New/Future Tax Types</w:t>
            </w:r>
          </w:p>
        </w:tc>
      </w:tr>
    </w:tbl>
    <w:p w14:paraId="72F60D1F" w14:textId="77777777" w:rsidR="00CC7373" w:rsidRDefault="00200697" w:rsidP="00200697">
      <w:pPr>
        <w:pStyle w:val="Heading2"/>
      </w:pPr>
      <w:bookmarkStart w:id="43" w:name="_Toc377313550"/>
      <w:r>
        <w:t>Adequacy of Vendor’s Proposed Risk Management Plan</w:t>
      </w:r>
      <w:bookmarkEnd w:id="43"/>
    </w:p>
    <w:p w14:paraId="72F60D21" w14:textId="17474C8C" w:rsidR="00D831D4" w:rsidRDefault="00D831D4" w:rsidP="00116539">
      <w:pPr>
        <w:pStyle w:val="BodyText"/>
      </w:pPr>
      <w:r>
        <w:t>Two components to identifying and managing risk have been identified in the FAST response, the first is issues m</w:t>
      </w:r>
      <w:r w:rsidR="00851BCF" w:rsidRPr="009A0661">
        <w:t>anagement</w:t>
      </w:r>
      <w:r>
        <w:t xml:space="preserve"> and the second is risk management.</w:t>
      </w:r>
      <w:r w:rsidR="00C13F3C">
        <w:t xml:space="preserve">  The FAST approach is derived from multiple engagements in multiple states, is based on Project Management Institute definitions, and should be considered to be adequate for VDT’s ITS implementation requirements.  </w:t>
      </w:r>
    </w:p>
    <w:p w14:paraId="72F60D3D" w14:textId="77777777" w:rsidR="00CC7373" w:rsidRDefault="00200697" w:rsidP="00200697">
      <w:pPr>
        <w:pStyle w:val="Heading2"/>
      </w:pPr>
      <w:bookmarkStart w:id="44" w:name="_Toc377313551"/>
      <w:r>
        <w:t>Adequacy of Design, Conversion and Implementation Plans</w:t>
      </w:r>
      <w:bookmarkEnd w:id="44"/>
    </w:p>
    <w:p w14:paraId="21375B6B" w14:textId="37FC407B" w:rsidR="00C13F3C" w:rsidRPr="0051590D" w:rsidRDefault="00C13F3C" w:rsidP="00C13F3C">
      <w:pPr>
        <w:pStyle w:val="BodyText"/>
      </w:pPr>
      <w:r w:rsidRPr="0051590D">
        <w:t>FAST</w:t>
      </w:r>
      <w:r>
        <w:t>’s implementation model is based upon a general COTS implementation approach and has been refined over multiple engagements.  It should be considered to be adequate for VDT’s ITS implementation requirements.</w:t>
      </w:r>
    </w:p>
    <w:p w14:paraId="72F60D69" w14:textId="6A344A1F" w:rsidR="00200697" w:rsidRPr="00CC7373" w:rsidRDefault="00C13F3C" w:rsidP="00CC7373">
      <w:pPr>
        <w:pStyle w:val="BodyText"/>
      </w:pPr>
      <w:r>
        <w:t xml:space="preserve">With regard to Data Cleansing and Data Conversion, FAST has provided high-level tasks and durations in the Preliminary Project Plan; however, it is unclear how many VDT resources may be required for these two critical sets of tasks and such estimates are not included in the estimate of VDT resources in the proposal.  </w:t>
      </w:r>
    </w:p>
    <w:p w14:paraId="72F60D6A" w14:textId="77777777" w:rsidR="00CC7373" w:rsidRDefault="00200697" w:rsidP="00200697">
      <w:pPr>
        <w:pStyle w:val="Heading2"/>
      </w:pPr>
      <w:bookmarkStart w:id="45" w:name="_Toc377313552"/>
      <w:r>
        <w:t>Adequacy of Support for Conversion and Implementation Activities</w:t>
      </w:r>
      <w:bookmarkEnd w:id="45"/>
    </w:p>
    <w:p w14:paraId="44F226EB" w14:textId="2B14233C" w:rsidR="00485E84" w:rsidRPr="00485E84" w:rsidRDefault="00485E84" w:rsidP="0051590D">
      <w:pPr>
        <w:pStyle w:val="BodyText"/>
      </w:pPr>
      <w:r>
        <w:t xml:space="preserve">FAST’s Staff Loading Chart includes a section for support by 7-11 consultants over the timeframe of implementation.  While not specifically identified as Conversion support, this team of resources should prove adequate to support VDT’s Conversion and general Implementation activities.  </w:t>
      </w:r>
    </w:p>
    <w:p w14:paraId="72F60D72" w14:textId="77777777" w:rsidR="00A4557D" w:rsidRDefault="00200697" w:rsidP="00200697">
      <w:pPr>
        <w:pStyle w:val="Heading2"/>
      </w:pPr>
      <w:bookmarkStart w:id="46" w:name="_Toc371952032"/>
      <w:bookmarkStart w:id="47" w:name="_Toc377313553"/>
      <w:bookmarkEnd w:id="46"/>
      <w:r>
        <w:t>Adequacy of Vendor’s Training Plan</w:t>
      </w:r>
      <w:bookmarkEnd w:id="47"/>
    </w:p>
    <w:p w14:paraId="4D949F56" w14:textId="5E2E9CE1" w:rsidR="00485E84" w:rsidRPr="00485E84" w:rsidRDefault="00485E84" w:rsidP="0051590D">
      <w:pPr>
        <w:pStyle w:val="BodyText"/>
      </w:pPr>
      <w:r>
        <w:t xml:space="preserve">FAST presents a high-level set of training tasks in the Preliminary Project Plan in addition to a two-page summary (Tab G) on their overall approach to training.  Based on the materials provided and FAST’s track record of training end-users in 16 jurisdictions, the high-level Training Plan is considered adequate for VDT’s needs.  </w:t>
      </w:r>
    </w:p>
    <w:p w14:paraId="72F60D8D" w14:textId="77777777" w:rsidR="00A4557D" w:rsidRDefault="00200697" w:rsidP="00200697">
      <w:pPr>
        <w:pStyle w:val="Heading2"/>
      </w:pPr>
      <w:bookmarkStart w:id="48" w:name="_Toc377313554"/>
      <w:r>
        <w:t>Adequacy of Planned Testing Procedures</w:t>
      </w:r>
      <w:bookmarkEnd w:id="48"/>
    </w:p>
    <w:p w14:paraId="26AAA019" w14:textId="620E6D73" w:rsidR="00485E84" w:rsidRDefault="00485E84" w:rsidP="0051590D">
      <w:pPr>
        <w:pStyle w:val="BodyText"/>
      </w:pPr>
      <w:r>
        <w:t xml:space="preserve">Testing is addressed at a high-level in Tab E and alludes to a detailed Test Planning effort during the actual Testing Phase of the implementation.  </w:t>
      </w:r>
      <w:r w:rsidR="00F66592">
        <w:t>While identified in Tab E, t</w:t>
      </w:r>
      <w:r>
        <w:t xml:space="preserve">he tasks included in the Preliminary Project Plan do not seem to identify a clear User Acceptance Testing phase as a pre-requisite for rollout.  </w:t>
      </w:r>
    </w:p>
    <w:p w14:paraId="476DCD01" w14:textId="7D5E193B" w:rsidR="00F66592" w:rsidRPr="00485E84" w:rsidRDefault="00F66592" w:rsidP="0051590D">
      <w:pPr>
        <w:pStyle w:val="BodyText"/>
      </w:pPr>
      <w:r>
        <w:t xml:space="preserve">It is recommended that VDT obtain more detail related to FAST’s testing procedures and test plans prior to project commencement.  This will ensure that VDT has proper expectations for testing and resource commitment.  </w:t>
      </w:r>
    </w:p>
    <w:p w14:paraId="72F60D9F" w14:textId="77777777" w:rsidR="005A7274" w:rsidRDefault="00200697" w:rsidP="00200697">
      <w:pPr>
        <w:pStyle w:val="Heading2"/>
      </w:pPr>
      <w:bookmarkStart w:id="49" w:name="_Toc377313555"/>
      <w:r>
        <w:t>Independent Review Findings</w:t>
      </w:r>
      <w:bookmarkEnd w:id="49"/>
    </w:p>
    <w:p w14:paraId="03F87C9F" w14:textId="05033D09" w:rsidR="00EE2243" w:rsidRDefault="00BF2E1C" w:rsidP="00EE2243">
      <w:pPr>
        <w:pStyle w:val="Heading5"/>
      </w:pPr>
      <w:bookmarkStart w:id="50" w:name="_Ref372517192"/>
      <w:r>
        <w:t>Finding</w:t>
      </w:r>
      <w:r w:rsidR="00EE2243">
        <w:t xml:space="preserve"> </w:t>
      </w:r>
      <w:r w:rsidR="002C0E13">
        <w:t>14</w:t>
      </w:r>
      <w:r w:rsidR="00330714" w:rsidRPr="00330714">
        <w:t xml:space="preserve">: </w:t>
      </w:r>
      <w:r w:rsidR="008E6483">
        <w:t>While high-level, t</w:t>
      </w:r>
      <w:r>
        <w:t xml:space="preserve">he </w:t>
      </w:r>
      <w:r w:rsidR="00330714" w:rsidRPr="00330714">
        <w:t xml:space="preserve">FAST Implementation Plan </w:t>
      </w:r>
      <w:r w:rsidR="008E6483">
        <w:t>is realistic and based upon multiple prior implementations.</w:t>
      </w:r>
      <w:bookmarkEnd w:id="50"/>
      <w:r w:rsidR="008E6483">
        <w:t xml:space="preserve">  </w:t>
      </w:r>
    </w:p>
    <w:p w14:paraId="72F60DA1" w14:textId="6ED17FAE" w:rsidR="00330714" w:rsidRDefault="003A0536" w:rsidP="005A7274">
      <w:pPr>
        <w:pStyle w:val="BodyText"/>
      </w:pPr>
      <w:r>
        <w:t>B</w:t>
      </w:r>
      <w:r w:rsidR="00330714">
        <w:t>ased upon a number of prior state implementations</w:t>
      </w:r>
      <w:r>
        <w:t xml:space="preserve"> referenced in the FAST proposal and discussion that VDT upper management has had with these taxing agencies, the ITS project appears to have a high likelihood of </w:t>
      </w:r>
      <w:r w:rsidR="00F66592">
        <w:t xml:space="preserve">following the defined implementation plan presented by FAST.  </w:t>
      </w:r>
    </w:p>
    <w:p w14:paraId="761C1E95" w14:textId="39B8414B" w:rsidR="00EE2243" w:rsidRDefault="00A16968" w:rsidP="00EE2243">
      <w:pPr>
        <w:pStyle w:val="Heading5"/>
      </w:pPr>
      <w:bookmarkStart w:id="51" w:name="_Ref372517194"/>
      <w:r>
        <w:t>Finding</w:t>
      </w:r>
      <w:r w:rsidR="00EE2243">
        <w:t xml:space="preserve"> </w:t>
      </w:r>
      <w:r w:rsidR="002C0E13">
        <w:t>15</w:t>
      </w:r>
      <w:r w:rsidR="00330714" w:rsidRPr="007E0F62">
        <w:t xml:space="preserve">: </w:t>
      </w:r>
      <w:r w:rsidR="00F66592">
        <w:t>VDT staffing for d</w:t>
      </w:r>
      <w:r w:rsidR="00330714" w:rsidRPr="007E0F62">
        <w:t>ata cleansing and data conversion</w:t>
      </w:r>
      <w:r w:rsidR="00F66592">
        <w:t xml:space="preserve"> should be defined</w:t>
      </w:r>
      <w:r w:rsidR="00330714" w:rsidRPr="007E0F62">
        <w:t>.</w:t>
      </w:r>
      <w:bookmarkEnd w:id="51"/>
      <w:r w:rsidR="007E0F62">
        <w:t xml:space="preserve">  </w:t>
      </w:r>
    </w:p>
    <w:p w14:paraId="72F60DA5" w14:textId="021350D7" w:rsidR="00330714" w:rsidRDefault="007E0F62" w:rsidP="005A7274">
      <w:pPr>
        <w:pStyle w:val="BodyText"/>
      </w:pPr>
      <w:r>
        <w:t>Data cleansing and data conversion require a signifi</w:t>
      </w:r>
      <w:r w:rsidR="00A16968">
        <w:t xml:space="preserve">cant effort </w:t>
      </w:r>
      <w:r w:rsidR="0040307E">
        <w:t xml:space="preserve">by the agency to be completed </w:t>
      </w:r>
      <w:r w:rsidR="00A16968">
        <w:t xml:space="preserve">properly.  </w:t>
      </w:r>
      <w:r w:rsidR="00F66592">
        <w:t xml:space="preserve">FAST’s implementation plan and RFP response define data conversation activities, but VDT should understand the level of resource commitment required for those sections.  In addition, VDT should identify data cleansing activities that could begin before formal implementation.  </w:t>
      </w:r>
      <w:r w:rsidR="0040307E">
        <w:t>Only VDT has full, contextual knowledge of its data.</w:t>
      </w:r>
      <w:r w:rsidR="00E00860">
        <w:t xml:space="preserve">  </w:t>
      </w:r>
      <w:r w:rsidR="00E00860" w:rsidRPr="00E00860">
        <w:rPr>
          <w:b/>
          <w:i/>
        </w:rPr>
        <w:t xml:space="preserve">(Maps to Risks </w:t>
      </w:r>
      <w:r w:rsidR="007C725B">
        <w:rPr>
          <w:b/>
          <w:i/>
        </w:rPr>
        <w:t>R</w:t>
      </w:r>
      <w:r w:rsidR="00E00860" w:rsidRPr="00E00860">
        <w:rPr>
          <w:b/>
          <w:i/>
        </w:rPr>
        <w:t xml:space="preserve">9, </w:t>
      </w:r>
      <w:r w:rsidR="007C725B">
        <w:rPr>
          <w:b/>
          <w:i/>
        </w:rPr>
        <w:t>R</w:t>
      </w:r>
      <w:r w:rsidR="00E00860" w:rsidRPr="00E00860">
        <w:rPr>
          <w:b/>
          <w:i/>
        </w:rPr>
        <w:t>10)</w:t>
      </w:r>
    </w:p>
    <w:p w14:paraId="15C8DED1" w14:textId="6CADBAE7" w:rsidR="00EE2243" w:rsidRDefault="00A16968" w:rsidP="00EE2243">
      <w:pPr>
        <w:pStyle w:val="Heading5"/>
      </w:pPr>
      <w:bookmarkStart w:id="52" w:name="_Ref372517195"/>
      <w:r>
        <w:t>Finding</w:t>
      </w:r>
      <w:r w:rsidR="00EE2243">
        <w:t xml:space="preserve"> </w:t>
      </w:r>
      <w:r w:rsidR="002C0E13">
        <w:t>16</w:t>
      </w:r>
      <w:r w:rsidR="00A34FF4">
        <w:t xml:space="preserve">: </w:t>
      </w:r>
      <w:r w:rsidR="00031122">
        <w:t>VDT must identify and assign appropriate resources to support interface development and testing</w:t>
      </w:r>
      <w:r w:rsidR="007E0F62" w:rsidRPr="007E0F62">
        <w:t>.</w:t>
      </w:r>
      <w:bookmarkEnd w:id="52"/>
      <w:r w:rsidR="007E0F62">
        <w:t xml:space="preserve">  </w:t>
      </w:r>
    </w:p>
    <w:p w14:paraId="72F60DA7" w14:textId="3A10F7B0" w:rsidR="007E0F62" w:rsidRDefault="007E0F62" w:rsidP="005A7274">
      <w:pPr>
        <w:pStyle w:val="BodyText"/>
      </w:pPr>
      <w:r>
        <w:t>FAST has already developed interfaces to many of the systems that the current VDT applications connect to.  Their proposal indicates that most interfaces will be implemented using available configuration capabilities.  This will help in keeping with the philosophy of a COTS product</w:t>
      </w:r>
      <w:r w:rsidR="00031122">
        <w:t>, and will help keep to the implementation timeline.  VDT must ensure that appropriate internal personnel are identified and allocated to support FAST with interface development and testing.</w:t>
      </w:r>
      <w:r w:rsidR="00E00860">
        <w:t xml:space="preserve">  </w:t>
      </w:r>
      <w:r w:rsidR="00E00860" w:rsidRPr="00E00860">
        <w:rPr>
          <w:b/>
          <w:i/>
        </w:rPr>
        <w:t xml:space="preserve">(Maps to Risk </w:t>
      </w:r>
      <w:r w:rsidR="007C725B">
        <w:rPr>
          <w:b/>
          <w:i/>
        </w:rPr>
        <w:t>R</w:t>
      </w:r>
      <w:r w:rsidR="00E00860" w:rsidRPr="00E00860">
        <w:rPr>
          <w:b/>
          <w:i/>
        </w:rPr>
        <w:t>19)</w:t>
      </w:r>
    </w:p>
    <w:p w14:paraId="0F4893FE" w14:textId="5FE815E5" w:rsidR="00EE2243" w:rsidRDefault="00A16968" w:rsidP="00EE2243">
      <w:pPr>
        <w:pStyle w:val="Heading5"/>
      </w:pPr>
      <w:bookmarkStart w:id="53" w:name="_Ref372517197"/>
      <w:r>
        <w:t>Finding</w:t>
      </w:r>
      <w:r w:rsidR="00EE2243">
        <w:t xml:space="preserve"> </w:t>
      </w:r>
      <w:r w:rsidR="002C0E13">
        <w:t>17</w:t>
      </w:r>
      <w:r w:rsidR="00375B52" w:rsidRPr="00375B52">
        <w:t xml:space="preserve">: </w:t>
      </w:r>
      <w:r w:rsidR="00031122">
        <w:t>VDT must define plans to ensure adequate support of legacy systems during implementation.</w:t>
      </w:r>
      <w:bookmarkEnd w:id="53"/>
      <w:r w:rsidR="00031122">
        <w:t xml:space="preserve">  </w:t>
      </w:r>
    </w:p>
    <w:p w14:paraId="72F60DA9" w14:textId="784FE396" w:rsidR="00577541" w:rsidRDefault="00375B52" w:rsidP="005A7274">
      <w:pPr>
        <w:pStyle w:val="BodyText"/>
      </w:pPr>
      <w:r>
        <w:t>While the major focus is im</w:t>
      </w:r>
      <w:r w:rsidR="00A34FF4">
        <w:t>plementing a</w:t>
      </w:r>
      <w:r>
        <w:t xml:space="preserve"> new ITS, supporting existing tax appl</w:t>
      </w:r>
      <w:r w:rsidR="00A34FF4">
        <w:t>ications must continue until each</w:t>
      </w:r>
      <w:r>
        <w:t xml:space="preserve"> system can be retired.  Plans need to be developed and </w:t>
      </w:r>
      <w:r w:rsidR="00075E3C">
        <w:t>actions taken</w:t>
      </w:r>
      <w:r>
        <w:t xml:space="preserve"> to ensure that the existing tax systems are supported during the FAST rollouts.</w:t>
      </w:r>
      <w:r w:rsidR="00E00860">
        <w:t xml:space="preserve"> </w:t>
      </w:r>
      <w:r w:rsidR="00E00860" w:rsidRPr="00E00860">
        <w:rPr>
          <w:b/>
          <w:i/>
        </w:rPr>
        <w:t xml:space="preserve"> </w:t>
      </w:r>
      <w:r w:rsidR="00E00860">
        <w:rPr>
          <w:b/>
          <w:i/>
        </w:rPr>
        <w:t>(</w:t>
      </w:r>
      <w:r w:rsidR="00E00860" w:rsidRPr="00E00860">
        <w:rPr>
          <w:b/>
          <w:i/>
        </w:rPr>
        <w:t xml:space="preserve">Maps to Risks </w:t>
      </w:r>
      <w:r w:rsidR="007C725B">
        <w:rPr>
          <w:b/>
          <w:i/>
        </w:rPr>
        <w:t>R</w:t>
      </w:r>
      <w:r w:rsidR="00E00860" w:rsidRPr="00E00860">
        <w:rPr>
          <w:b/>
          <w:i/>
        </w:rPr>
        <w:t xml:space="preserve">1, </w:t>
      </w:r>
      <w:r w:rsidR="007C725B">
        <w:rPr>
          <w:b/>
          <w:i/>
        </w:rPr>
        <w:t>R2</w:t>
      </w:r>
      <w:r w:rsidR="00E00860" w:rsidRPr="00E00860">
        <w:rPr>
          <w:b/>
          <w:i/>
        </w:rPr>
        <w:t xml:space="preserve">, </w:t>
      </w:r>
      <w:r w:rsidR="007C725B">
        <w:rPr>
          <w:b/>
          <w:i/>
        </w:rPr>
        <w:t>R</w:t>
      </w:r>
      <w:r w:rsidR="00E00860" w:rsidRPr="00E00860">
        <w:rPr>
          <w:b/>
          <w:i/>
        </w:rPr>
        <w:t>3)</w:t>
      </w:r>
    </w:p>
    <w:p w14:paraId="491CE1C1" w14:textId="659CD445" w:rsidR="00EE2243" w:rsidRDefault="00A16968" w:rsidP="00EE2243">
      <w:pPr>
        <w:pStyle w:val="Heading5"/>
      </w:pPr>
      <w:bookmarkStart w:id="54" w:name="_Ref372517199"/>
      <w:r>
        <w:t>Finding</w:t>
      </w:r>
      <w:r w:rsidR="00EE2243">
        <w:t xml:space="preserve"> </w:t>
      </w:r>
      <w:r w:rsidR="002C0E13">
        <w:t>18</w:t>
      </w:r>
      <w:r w:rsidR="00577541" w:rsidRPr="00577541">
        <w:t xml:space="preserve">: </w:t>
      </w:r>
      <w:r w:rsidR="00031122">
        <w:t>VDT must own and drive contract management during implementation</w:t>
      </w:r>
      <w:r w:rsidR="00577541" w:rsidRPr="00577541">
        <w:t>.</w:t>
      </w:r>
      <w:bookmarkEnd w:id="54"/>
      <w:r w:rsidR="00577541" w:rsidRPr="00577541">
        <w:t xml:space="preserve">  </w:t>
      </w:r>
    </w:p>
    <w:p w14:paraId="72F60DAB" w14:textId="2BDAE136" w:rsidR="0079039A" w:rsidRDefault="00577541" w:rsidP="005A7274">
      <w:pPr>
        <w:pStyle w:val="BodyText"/>
      </w:pPr>
      <w:r>
        <w:t xml:space="preserve">Once the contract is executed, it will need to be </w:t>
      </w:r>
      <w:r w:rsidR="00116539">
        <w:t xml:space="preserve">actively </w:t>
      </w:r>
      <w:r>
        <w:t xml:space="preserve">managed </w:t>
      </w:r>
      <w:r w:rsidR="00116539">
        <w:t xml:space="preserve">in order to ensure that deliverables are completed on time and acceptable to the State </w:t>
      </w:r>
      <w:r w:rsidR="00336B93">
        <w:t xml:space="preserve">and that proper payments may be issued according to the contract.  </w:t>
      </w:r>
      <w:r w:rsidR="00031122">
        <w:t xml:space="preserve">FAST has deep experience managing ITS implementations, but Vermont should take ownership of the entire project to ensure that the state’s needs are consistently being met.  </w:t>
      </w:r>
      <w:r w:rsidR="00B646C0">
        <w:t xml:space="preserve">An individual with the </w:t>
      </w:r>
      <w:r w:rsidR="005033B5">
        <w:t>necessary</w:t>
      </w:r>
      <w:r w:rsidR="00B646C0">
        <w:t xml:space="preserve"> authority will need to be assigned the responsibilities of managing the contract.</w:t>
      </w:r>
      <w:r w:rsidR="00E00860">
        <w:t xml:space="preserve">  </w:t>
      </w:r>
      <w:r w:rsidR="00E00860" w:rsidRPr="00E00860">
        <w:rPr>
          <w:b/>
          <w:i/>
        </w:rPr>
        <w:t xml:space="preserve">(Maps to Risk </w:t>
      </w:r>
      <w:r w:rsidR="007C725B">
        <w:rPr>
          <w:b/>
          <w:i/>
        </w:rPr>
        <w:t>R</w:t>
      </w:r>
      <w:r w:rsidR="00E00860" w:rsidRPr="00E00860">
        <w:rPr>
          <w:b/>
          <w:i/>
        </w:rPr>
        <w:t>16)</w:t>
      </w:r>
    </w:p>
    <w:p w14:paraId="474E4654" w14:textId="4C88525A" w:rsidR="00EE2243" w:rsidRDefault="00A16968" w:rsidP="00EE2243">
      <w:pPr>
        <w:pStyle w:val="Heading5"/>
      </w:pPr>
      <w:bookmarkStart w:id="55" w:name="_Ref372517200"/>
      <w:r>
        <w:t>Finding</w:t>
      </w:r>
      <w:r w:rsidR="00EE2243">
        <w:t xml:space="preserve"> </w:t>
      </w:r>
      <w:r w:rsidR="002C0E13">
        <w:t>19</w:t>
      </w:r>
      <w:r w:rsidR="0079039A" w:rsidRPr="0079039A">
        <w:t xml:space="preserve">: </w:t>
      </w:r>
      <w:r w:rsidR="00031122">
        <w:t>VDT must define, own and drive a d</w:t>
      </w:r>
      <w:r w:rsidR="0079039A" w:rsidRPr="0079039A">
        <w:t>eliverables management</w:t>
      </w:r>
      <w:r w:rsidR="00031122">
        <w:t xml:space="preserve"> plan for implementation</w:t>
      </w:r>
      <w:r w:rsidR="0079039A" w:rsidRPr="0079039A">
        <w:t>.</w:t>
      </w:r>
      <w:bookmarkEnd w:id="55"/>
      <w:r w:rsidR="00561B59">
        <w:t xml:space="preserve">  </w:t>
      </w:r>
    </w:p>
    <w:p w14:paraId="01B24821" w14:textId="06FEA7DE" w:rsidR="00031122" w:rsidRDefault="00336B93" w:rsidP="005A7274">
      <w:pPr>
        <w:pStyle w:val="BodyText"/>
        <w:rPr>
          <w:b/>
          <w:i/>
        </w:rPr>
      </w:pPr>
      <w:r>
        <w:t>A</w:t>
      </w:r>
      <w:r w:rsidR="00561B59">
        <w:t xml:space="preserve"> r</w:t>
      </w:r>
      <w:r w:rsidR="0079039A">
        <w:t>eview and acceptance process</w:t>
      </w:r>
      <w:r w:rsidR="00561B59">
        <w:t>es</w:t>
      </w:r>
      <w:r w:rsidR="0079039A">
        <w:t xml:space="preserve"> for all deliverables</w:t>
      </w:r>
      <w:r w:rsidR="00561B59">
        <w:t xml:space="preserve"> will need</w:t>
      </w:r>
      <w:r w:rsidR="0079039A">
        <w:t xml:space="preserve"> to be implemented.  This would include </w:t>
      </w:r>
      <w:r>
        <w:t xml:space="preserve">deliverable categorization, organization, versioning and review/approval.  </w:t>
      </w:r>
      <w:r w:rsidR="00031122">
        <w:t>FAST has deep experience managing ITS implementations, but Vermont should take ownership of the entire project to ensure that the state’s needs are consistently being met.</w:t>
      </w:r>
      <w:r w:rsidR="00031122" w:rsidRPr="00383839">
        <w:rPr>
          <w:b/>
          <w:i/>
        </w:rPr>
        <w:t xml:space="preserve"> </w:t>
      </w:r>
      <w:r w:rsidR="00BC08A8">
        <w:rPr>
          <w:b/>
          <w:i/>
        </w:rPr>
        <w:t xml:space="preserve"> (Maps to Risk </w:t>
      </w:r>
      <w:r w:rsidR="007C725B">
        <w:rPr>
          <w:b/>
          <w:i/>
        </w:rPr>
        <w:t>R</w:t>
      </w:r>
      <w:r w:rsidR="00BC08A8">
        <w:rPr>
          <w:b/>
          <w:i/>
        </w:rPr>
        <w:t>31)</w:t>
      </w:r>
    </w:p>
    <w:p w14:paraId="3888ACD6" w14:textId="24CC2721" w:rsidR="00EE2243" w:rsidRDefault="00A16968" w:rsidP="00EE2243">
      <w:pPr>
        <w:pStyle w:val="Heading5"/>
      </w:pPr>
      <w:bookmarkStart w:id="56" w:name="_Ref372517202"/>
      <w:r>
        <w:t>Finding</w:t>
      </w:r>
      <w:r w:rsidR="00EE2243">
        <w:t xml:space="preserve"> </w:t>
      </w:r>
      <w:r w:rsidR="002C0E13">
        <w:t>20</w:t>
      </w:r>
      <w:r w:rsidR="0079039A" w:rsidRPr="0079039A">
        <w:t xml:space="preserve">: </w:t>
      </w:r>
      <w:r w:rsidR="00031122">
        <w:t>VDT resources should be formally assigned to the ITS implementation and backfill activities should commence immediately.</w:t>
      </w:r>
      <w:bookmarkEnd w:id="56"/>
      <w:r w:rsidR="00031122">
        <w:t xml:space="preserve">  </w:t>
      </w:r>
    </w:p>
    <w:p w14:paraId="72F60DAF" w14:textId="15A57A1F" w:rsidR="007E0F62" w:rsidRPr="00577541" w:rsidRDefault="0079039A" w:rsidP="005A7274">
      <w:pPr>
        <w:pStyle w:val="BodyText"/>
      </w:pPr>
      <w:r>
        <w:t xml:space="preserve">One of the biggest challenges during this project will be </w:t>
      </w:r>
      <w:r w:rsidR="00336B93">
        <w:t>allocating</w:t>
      </w:r>
      <w:r>
        <w:t xml:space="preserve"> resources that </w:t>
      </w:r>
      <w:r w:rsidR="00336B93">
        <w:t xml:space="preserve">have the required VDT operations </w:t>
      </w:r>
      <w:r w:rsidR="00561B59">
        <w:t>subject matter expertise</w:t>
      </w:r>
      <w:r>
        <w:t xml:space="preserve"> and the time to support the FAST delivery team.  Efforts should begin now </w:t>
      </w:r>
      <w:r w:rsidR="00336B93">
        <w:t xml:space="preserve">to train resources to cover those subject matter experts’ operational roles </w:t>
      </w:r>
      <w:r w:rsidR="00F66592">
        <w:t xml:space="preserve">(“backfill”) </w:t>
      </w:r>
      <w:r w:rsidR="00336B93">
        <w:t>while they are involved in implementation.</w:t>
      </w:r>
      <w:r w:rsidR="003A2FB0">
        <w:t xml:space="preserve">  </w:t>
      </w:r>
      <w:r w:rsidR="003A2FB0" w:rsidRPr="003A2FB0">
        <w:rPr>
          <w:b/>
          <w:i/>
        </w:rPr>
        <w:t xml:space="preserve">(Maps to Risks </w:t>
      </w:r>
      <w:r w:rsidR="007C725B">
        <w:rPr>
          <w:b/>
          <w:i/>
        </w:rPr>
        <w:t>R</w:t>
      </w:r>
      <w:r w:rsidR="003A2FB0" w:rsidRPr="003A2FB0">
        <w:rPr>
          <w:b/>
          <w:i/>
        </w:rPr>
        <w:t xml:space="preserve">4, </w:t>
      </w:r>
      <w:r w:rsidR="007C725B">
        <w:rPr>
          <w:b/>
          <w:i/>
        </w:rPr>
        <w:t>R</w:t>
      </w:r>
      <w:r w:rsidR="003A2FB0" w:rsidRPr="003A2FB0">
        <w:rPr>
          <w:b/>
          <w:i/>
        </w:rPr>
        <w:t xml:space="preserve">5, </w:t>
      </w:r>
      <w:r w:rsidR="007C725B">
        <w:rPr>
          <w:b/>
          <w:i/>
        </w:rPr>
        <w:t>R</w:t>
      </w:r>
      <w:r w:rsidR="003A2FB0" w:rsidRPr="003A2FB0">
        <w:rPr>
          <w:b/>
          <w:i/>
        </w:rPr>
        <w:t>6)</w:t>
      </w:r>
    </w:p>
    <w:p w14:paraId="43C9CEFE" w14:textId="4705EE10" w:rsidR="00EE2243" w:rsidRDefault="00A16968" w:rsidP="00EE2243">
      <w:pPr>
        <w:pStyle w:val="Heading5"/>
      </w:pPr>
      <w:bookmarkStart w:id="57" w:name="_Ref372517206"/>
      <w:r>
        <w:t>Finding</w:t>
      </w:r>
      <w:r w:rsidR="00EE2243">
        <w:t xml:space="preserve"> </w:t>
      </w:r>
      <w:r w:rsidR="002C0E13">
        <w:t>21</w:t>
      </w:r>
      <w:r w:rsidR="00B60211" w:rsidRPr="0079039A">
        <w:t xml:space="preserve">: </w:t>
      </w:r>
      <w:r w:rsidR="00B60211">
        <w:t>There is minimal time between on</w:t>
      </w:r>
      <w:r w:rsidR="00561B59">
        <w:t>e rollout and</w:t>
      </w:r>
      <w:r w:rsidR="00B60211">
        <w:t xml:space="preserve"> the next</w:t>
      </w:r>
      <w:r w:rsidR="00B60211" w:rsidRPr="0079039A">
        <w:t>.</w:t>
      </w:r>
      <w:bookmarkEnd w:id="57"/>
      <w:r w:rsidR="00B60211">
        <w:t xml:space="preserve">  </w:t>
      </w:r>
    </w:p>
    <w:p w14:paraId="72F60DB1" w14:textId="084AA69F" w:rsidR="00B60211" w:rsidRPr="00BC08A8" w:rsidRDefault="00B60211" w:rsidP="00B60211">
      <w:pPr>
        <w:pStyle w:val="BodyText"/>
        <w:rPr>
          <w:b/>
          <w:i/>
        </w:rPr>
      </w:pPr>
      <w:r>
        <w:t>The current plan proposed by FAST is to have each rollout take one year.  Each rollout is followed by the</w:t>
      </w:r>
      <w:r w:rsidR="00173F22">
        <w:t xml:space="preserve"> next </w:t>
      </w:r>
      <w:r w:rsidR="00561B59">
        <w:t xml:space="preserve">the next rollout </w:t>
      </w:r>
      <w:r w:rsidR="00173F22">
        <w:t>with no real down time for VTD ITS project staff.  This could take its toll</w:t>
      </w:r>
      <w:r w:rsidR="00561B59">
        <w:t xml:space="preserve"> on key VDT staff</w:t>
      </w:r>
      <w:r w:rsidR="00173F22">
        <w:t xml:space="preserve"> </w:t>
      </w:r>
      <w:r w:rsidR="00336B93">
        <w:t xml:space="preserve">allocated to more than one project phase </w:t>
      </w:r>
      <w:r w:rsidR="00173F22">
        <w:t>as the project progresses.</w:t>
      </w:r>
      <w:r w:rsidR="00383839">
        <w:t xml:space="preserve">  </w:t>
      </w:r>
      <w:r w:rsidR="00BC08A8">
        <w:rPr>
          <w:b/>
          <w:i/>
        </w:rPr>
        <w:t>(Maps to Risk</w:t>
      </w:r>
      <w:r w:rsidR="00FF4DD0">
        <w:rPr>
          <w:b/>
          <w:i/>
        </w:rPr>
        <w:t xml:space="preserve"> </w:t>
      </w:r>
      <w:r w:rsidR="007C725B">
        <w:rPr>
          <w:b/>
          <w:i/>
        </w:rPr>
        <w:t>R</w:t>
      </w:r>
      <w:r w:rsidR="00FF4DD0">
        <w:rPr>
          <w:b/>
          <w:i/>
        </w:rPr>
        <w:t>15</w:t>
      </w:r>
      <w:r w:rsidR="00BC08A8">
        <w:rPr>
          <w:b/>
          <w:i/>
        </w:rPr>
        <w:t>)</w:t>
      </w:r>
    </w:p>
    <w:p w14:paraId="70DE0C59" w14:textId="498AA3D1" w:rsidR="00EE2243" w:rsidRDefault="00A16968" w:rsidP="00EE2243">
      <w:pPr>
        <w:pStyle w:val="Heading5"/>
      </w:pPr>
      <w:bookmarkStart w:id="58" w:name="_Ref372517207"/>
      <w:r>
        <w:t>Finding</w:t>
      </w:r>
      <w:r w:rsidR="00EE2243">
        <w:t xml:space="preserve"> </w:t>
      </w:r>
      <w:r w:rsidR="002C0E13">
        <w:t>22</w:t>
      </w:r>
      <w:r w:rsidR="00173F22" w:rsidRPr="0079039A">
        <w:t xml:space="preserve">: </w:t>
      </w:r>
      <w:r w:rsidR="00215DAC">
        <w:t xml:space="preserve">GenTax’s </w:t>
      </w:r>
      <w:r w:rsidR="00383839">
        <w:t>reporting approach should meet VDT’s needs</w:t>
      </w:r>
      <w:r w:rsidR="00173F22">
        <w:t>.</w:t>
      </w:r>
      <w:bookmarkEnd w:id="58"/>
      <w:r w:rsidR="00173F22">
        <w:t xml:space="preserve">  </w:t>
      </w:r>
    </w:p>
    <w:p w14:paraId="72F60DB5" w14:textId="2E61984B" w:rsidR="007E0F62" w:rsidRDefault="00173F22" w:rsidP="00173F22">
      <w:pPr>
        <w:pStyle w:val="BodyText"/>
      </w:pPr>
      <w:r>
        <w:t xml:space="preserve">The FAST proposal describes a number of </w:t>
      </w:r>
      <w:r w:rsidR="00031122">
        <w:t xml:space="preserve">standard “out of the box” </w:t>
      </w:r>
      <w:r>
        <w:t>and ad</w:t>
      </w:r>
      <w:r w:rsidR="002C388E">
        <w:t>-</w:t>
      </w:r>
      <w:r>
        <w:t>hoc data reporting features.  Based upon the selected DBMS</w:t>
      </w:r>
      <w:r w:rsidR="000E1CF1">
        <w:t>’s</w:t>
      </w:r>
      <w:r>
        <w:t xml:space="preserve"> capabilities to apply updates to the primary and </w:t>
      </w:r>
      <w:r w:rsidR="000E1CF1">
        <w:t>secondary database</w:t>
      </w:r>
      <w:r w:rsidR="00592137">
        <w:t xml:space="preserve"> (the reporting database)</w:t>
      </w:r>
      <w:r w:rsidR="000E1CF1">
        <w:t xml:space="preserve"> and keep them</w:t>
      </w:r>
      <w:r>
        <w:t xml:space="preserve"> synchronized</w:t>
      </w:r>
      <w:r w:rsidR="00592137">
        <w:t>,</w:t>
      </w:r>
      <w:r>
        <w:t xml:space="preserve"> </w:t>
      </w:r>
      <w:r w:rsidR="000E1CF1">
        <w:t xml:space="preserve">this should </w:t>
      </w:r>
      <w:r w:rsidR="00592137">
        <w:t>facilitate</w:t>
      </w:r>
      <w:r w:rsidR="000E1CF1">
        <w:t xml:space="preserve"> accurate and timely reporting</w:t>
      </w:r>
      <w:r>
        <w:t>.  This is further confirmed by FAST in that the reporting database serves as a hot standb</w:t>
      </w:r>
      <w:r w:rsidR="00592137">
        <w:t>y if the primary DBMS becomes unusable</w:t>
      </w:r>
      <w:r>
        <w:t>.</w:t>
      </w:r>
    </w:p>
    <w:p w14:paraId="59E9EEB6" w14:textId="66BB781E" w:rsidR="00EE2243" w:rsidRDefault="00383839" w:rsidP="00EE2243">
      <w:pPr>
        <w:pStyle w:val="Heading5"/>
      </w:pPr>
      <w:bookmarkStart w:id="59" w:name="_Ref372517209"/>
      <w:r w:rsidRPr="00383839">
        <w:t>Finding</w:t>
      </w:r>
      <w:r w:rsidR="00EE2243">
        <w:t xml:space="preserve"> </w:t>
      </w:r>
      <w:r w:rsidR="002C0E13">
        <w:t>23</w:t>
      </w:r>
      <w:r w:rsidRPr="00383839">
        <w:t>: Test Plans are expected to be completed as part of project implementation.</w:t>
      </w:r>
      <w:bookmarkEnd w:id="59"/>
      <w:r w:rsidRPr="00383839">
        <w:t xml:space="preserve">  </w:t>
      </w:r>
    </w:p>
    <w:p w14:paraId="650B748A" w14:textId="7E7797D3" w:rsidR="00383839" w:rsidRDefault="00383839" w:rsidP="00383839">
      <w:pPr>
        <w:pStyle w:val="BodyText"/>
      </w:pPr>
      <w:r>
        <w:t>While testing is summarized in the proposal, and is represented by some high-level tasks in the Preliminary Project Schedule, It is recommended that VDT obtain more detail related to FAST’s testing procedures and test plans prior to project commencement.  This will ensure that VDT has proper expectations for testing and resource commitment.  This will also ensure that the User Acceptance Testing process for VDT’s authorization to release the ITS into Production is thoroughly understood</w:t>
      </w:r>
      <w:r w:rsidR="00031122">
        <w:t xml:space="preserve"> and that expectations for staff involvement are clearly established.</w:t>
      </w:r>
    </w:p>
    <w:p w14:paraId="4D088671" w14:textId="40FC0604" w:rsidR="00EE2243" w:rsidRDefault="00921C92" w:rsidP="00EE2243">
      <w:pPr>
        <w:pStyle w:val="Heading5"/>
      </w:pPr>
      <w:bookmarkStart w:id="60" w:name="_Ref372517211"/>
      <w:r w:rsidRPr="00921C92">
        <w:t>Finding</w:t>
      </w:r>
      <w:r w:rsidR="00EE2243">
        <w:t xml:space="preserve"> </w:t>
      </w:r>
      <w:r w:rsidR="002C0E13">
        <w:t>24</w:t>
      </w:r>
      <w:r w:rsidRPr="00921C92">
        <w:t>:</w:t>
      </w:r>
      <w:r>
        <w:t xml:space="preserve"> </w:t>
      </w:r>
      <w:r w:rsidRPr="00921C92">
        <w:t>Need to ensure continued involvement from VDT resources:</w:t>
      </w:r>
      <w:bookmarkEnd w:id="60"/>
      <w:r>
        <w:t xml:space="preserve">  </w:t>
      </w:r>
    </w:p>
    <w:p w14:paraId="52B3CD06" w14:textId="32E6CD72" w:rsidR="00921C92" w:rsidRDefault="00921C92" w:rsidP="00921C92">
      <w:pPr>
        <w:pStyle w:val="BodyText"/>
      </w:pPr>
      <w:r>
        <w:t xml:space="preserve">It will be imperative that good project Governance is established and that an experienced Project Director is tasked with leading the project in order to ensure that </w:t>
      </w:r>
      <w:r w:rsidR="008E6483">
        <w:t xml:space="preserve">VDT </w:t>
      </w:r>
      <w:r>
        <w:t xml:space="preserve">staff are enabled to participate in the project to the degree necessary.  </w:t>
      </w:r>
      <w:r w:rsidR="00FF4DD0" w:rsidRPr="00FF4DD0">
        <w:rPr>
          <w:b/>
          <w:i/>
        </w:rPr>
        <w:t xml:space="preserve">(Maps to Risk </w:t>
      </w:r>
      <w:r w:rsidR="007C725B">
        <w:rPr>
          <w:b/>
          <w:i/>
        </w:rPr>
        <w:t>R</w:t>
      </w:r>
      <w:r w:rsidR="00FF4DD0" w:rsidRPr="00FF4DD0">
        <w:rPr>
          <w:b/>
          <w:i/>
        </w:rPr>
        <w:t>12)</w:t>
      </w:r>
    </w:p>
    <w:p w14:paraId="66B8BFDE" w14:textId="58A5A082" w:rsidR="00383839" w:rsidRDefault="00383839" w:rsidP="00173F22">
      <w:pPr>
        <w:pStyle w:val="BodyText"/>
      </w:pPr>
    </w:p>
    <w:p w14:paraId="72F60DB6" w14:textId="77777777" w:rsidR="00200697" w:rsidRPr="00330714" w:rsidRDefault="00200697" w:rsidP="005A7274">
      <w:pPr>
        <w:pStyle w:val="BodyText"/>
      </w:pPr>
    </w:p>
    <w:p w14:paraId="72F60DB7" w14:textId="77777777" w:rsidR="00A4557D" w:rsidRDefault="00200697" w:rsidP="00200697">
      <w:pPr>
        <w:pStyle w:val="Heading1"/>
      </w:pPr>
      <w:bookmarkStart w:id="61" w:name="_Toc377313556"/>
      <w:r>
        <w:t>Assessment of Organizational Readiness</w:t>
      </w:r>
      <w:bookmarkEnd w:id="61"/>
    </w:p>
    <w:p w14:paraId="72F60DCA" w14:textId="711C51A1" w:rsidR="009A4751" w:rsidRDefault="007909B6" w:rsidP="009A4751">
      <w:pPr>
        <w:widowControl w:val="0"/>
        <w:autoSpaceDE w:val="0"/>
        <w:autoSpaceDN w:val="0"/>
        <w:adjustRightInd w:val="0"/>
      </w:pPr>
      <w:r>
        <w:t xml:space="preserve">As a result of conversations with the Oversight Project Manager and VDT Deputy Commission, Mathtech has documented the following </w:t>
      </w:r>
      <w:r w:rsidR="009A4751">
        <w:t>project organizational structure</w:t>
      </w:r>
      <w:r>
        <w:t xml:space="preserve"> which will be put</w:t>
      </w:r>
      <w:r w:rsidR="009A4751">
        <w:t xml:space="preserve"> in place to manage the </w:t>
      </w:r>
      <w:r w:rsidR="002C388E">
        <w:t xml:space="preserve">ITS </w:t>
      </w:r>
      <w:r w:rsidR="009A4751">
        <w:t xml:space="preserve">project, monitor progress and make timely decisions on issues as they arise.  The project management structure will be composed of four tiers: </w:t>
      </w:r>
    </w:p>
    <w:p w14:paraId="72F60DCB" w14:textId="77777777" w:rsidR="009A4751" w:rsidRDefault="009A4751" w:rsidP="009A4751">
      <w:pPr>
        <w:widowControl w:val="0"/>
        <w:autoSpaceDE w:val="0"/>
        <w:autoSpaceDN w:val="0"/>
        <w:adjustRightInd w:val="0"/>
      </w:pPr>
    </w:p>
    <w:p w14:paraId="2E5E2E65" w14:textId="77777777" w:rsidR="007909B6" w:rsidRPr="007909B6" w:rsidRDefault="00031122" w:rsidP="007909B6">
      <w:pPr>
        <w:pStyle w:val="ListParagraph"/>
        <w:numPr>
          <w:ilvl w:val="0"/>
          <w:numId w:val="9"/>
        </w:numPr>
      </w:pPr>
      <w:r>
        <w:t>Governance</w:t>
      </w:r>
      <w:r w:rsidR="00195C0A">
        <w:t xml:space="preserve">: </w:t>
      </w:r>
      <w:r>
        <w:t xml:space="preserve"> </w:t>
      </w:r>
      <w:r w:rsidR="007909B6" w:rsidRPr="007909B6">
        <w:t>Is led by DII and composed to staff having enterprise implementation experience and the top members of VDT management.  Its primary responsibility will be to ensure the strategic direction of DII and business processes are aligned.</w:t>
      </w:r>
    </w:p>
    <w:p w14:paraId="72F60DCD" w14:textId="77777777" w:rsidR="00195C0A" w:rsidRDefault="009A4751" w:rsidP="003D35B7">
      <w:pPr>
        <w:pStyle w:val="ListParagraph"/>
        <w:widowControl w:val="0"/>
        <w:numPr>
          <w:ilvl w:val="0"/>
          <w:numId w:val="9"/>
        </w:numPr>
        <w:autoSpaceDE w:val="0"/>
        <w:autoSpaceDN w:val="0"/>
        <w:adjustRightInd w:val="0"/>
      </w:pPr>
      <w:r>
        <w:t>ITS</w:t>
      </w:r>
      <w:r w:rsidR="00195C0A">
        <w:t xml:space="preserve"> Steering Committee:  This committee will take a more hands on approach to oversee the project.  It will be responsible for monitoring progress, key decisions and setting direction.</w:t>
      </w:r>
    </w:p>
    <w:p w14:paraId="72F60DCE" w14:textId="77777777" w:rsidR="00195C0A" w:rsidRDefault="00195C0A" w:rsidP="003D35B7">
      <w:pPr>
        <w:pStyle w:val="ListParagraph"/>
        <w:widowControl w:val="0"/>
        <w:numPr>
          <w:ilvl w:val="0"/>
          <w:numId w:val="9"/>
        </w:numPr>
        <w:autoSpaceDE w:val="0"/>
        <w:autoSpaceDN w:val="0"/>
        <w:adjustRightInd w:val="0"/>
      </w:pPr>
      <w:r>
        <w:t>ITS Project Director: This position will report to the ITS Steering Committee and be aligned with the FAST project manager.  Responsibilities will include resource allocation of VDT staff, coordinating VDT resources, helping manage the project plan, identifying risks and issues and resolving where possible.</w:t>
      </w:r>
    </w:p>
    <w:p w14:paraId="72F60DCF" w14:textId="77777777" w:rsidR="00200697" w:rsidRPr="00A4557D" w:rsidRDefault="00195C0A" w:rsidP="003D35B7">
      <w:pPr>
        <w:pStyle w:val="ListParagraph"/>
        <w:widowControl w:val="0"/>
        <w:numPr>
          <w:ilvl w:val="0"/>
          <w:numId w:val="9"/>
        </w:numPr>
        <w:autoSpaceDE w:val="0"/>
        <w:autoSpaceDN w:val="0"/>
        <w:adjustRightInd w:val="0"/>
      </w:pPr>
      <w:r>
        <w:t>Project Implementation Team: Key members of VDT will provide continuity throughout the project.  They can identify the best subject matter experts, understand the impact to current operations (both from a technology and staffing perspective</w:t>
      </w:r>
      <w:r w:rsidR="008D5893">
        <w:t>), coordinate resources and judge the success of the project as it progresses.</w:t>
      </w:r>
    </w:p>
    <w:p w14:paraId="72F60DD0" w14:textId="77777777" w:rsidR="00BB024E" w:rsidRDefault="00200697" w:rsidP="00200697">
      <w:pPr>
        <w:pStyle w:val="Heading2"/>
      </w:pPr>
      <w:bookmarkStart w:id="62" w:name="_Toc377313557"/>
      <w:r>
        <w:t>General Project Acceptance / Readiness for Change</w:t>
      </w:r>
      <w:bookmarkEnd w:id="62"/>
    </w:p>
    <w:p w14:paraId="7CFFAF63" w14:textId="20B0BFA4" w:rsidR="002A2A49" w:rsidRPr="00F66592" w:rsidRDefault="002A2A49" w:rsidP="002A2A49">
      <w:pPr>
        <w:pStyle w:val="BodyText"/>
      </w:pPr>
      <w:r>
        <w:t xml:space="preserve">Based on conversations with VDT operational resources, it is clear that they are ready for the implementation of the ITS.  While they are eager for a change, there is less perceived enthusiasm from the legacy Information technology resources.  In fact, there were some very high probability, high impact risks identified related to loss of those resources.  </w:t>
      </w:r>
    </w:p>
    <w:p w14:paraId="72F60DF8" w14:textId="77777777" w:rsidR="00770222" w:rsidRDefault="00200697" w:rsidP="00200697">
      <w:pPr>
        <w:pStyle w:val="Heading2"/>
      </w:pPr>
      <w:bookmarkStart w:id="63" w:name="_Toc377313558"/>
      <w:r>
        <w:t>Adequacy of Department and Partner Staff to Provide Project Management</w:t>
      </w:r>
      <w:bookmarkEnd w:id="63"/>
    </w:p>
    <w:p w14:paraId="72F60DFA" w14:textId="3296C775" w:rsidR="00E57717" w:rsidRDefault="00E57717" w:rsidP="009E653A">
      <w:pPr>
        <w:pStyle w:val="BodyText"/>
      </w:pPr>
      <w:r>
        <w:t xml:space="preserve">VDT plans to </w:t>
      </w:r>
      <w:r w:rsidR="00DE3598">
        <w:t xml:space="preserve">hire and </w:t>
      </w:r>
      <w:r>
        <w:t xml:space="preserve">assign a </w:t>
      </w:r>
      <w:r w:rsidR="00DE3598">
        <w:t>P</w:t>
      </w:r>
      <w:r>
        <w:t xml:space="preserve">roject </w:t>
      </w:r>
      <w:r w:rsidR="00DE3598">
        <w:t>D</w:t>
      </w:r>
      <w:r>
        <w:t>irector to this project that will work in conjunction with the FAST project manager to manage each rollout.</w:t>
      </w:r>
      <w:r w:rsidR="00DE3598">
        <w:t xml:space="preserve">  To date, Mathtech understands that no candidates have been identified; however a job description has been submitted to Human Resources by VDT.  </w:t>
      </w:r>
    </w:p>
    <w:p w14:paraId="72F60E0C" w14:textId="77777777" w:rsidR="00A4557D" w:rsidRDefault="00200697" w:rsidP="00200697">
      <w:pPr>
        <w:pStyle w:val="Heading2"/>
      </w:pPr>
      <w:bookmarkStart w:id="64" w:name="_Toc377313559"/>
      <w:r>
        <w:t>Ability of the User and Operational Staff to Integrate Solution to their Work</w:t>
      </w:r>
      <w:bookmarkEnd w:id="64"/>
    </w:p>
    <w:p w14:paraId="5BE8FB90" w14:textId="10C0141F" w:rsidR="002A2A49" w:rsidRPr="002A2A49" w:rsidRDefault="002A2A49" w:rsidP="00383839">
      <w:pPr>
        <w:pStyle w:val="BodyText"/>
      </w:pPr>
      <w:r>
        <w:t xml:space="preserve">Based on FAST’s implementation track record, positive client references both in the proposal and via VDT phone calls, it is clear that other states have had success integrating the GenTax solution into their operations. </w:t>
      </w:r>
      <w:r w:rsidR="00C71F1E">
        <w:t xml:space="preserve">As a result, it is expected that VDT will, with proper Organizational Change Management and involvement in the ITS implementation, experience the same level of integration into daily operations.  </w:t>
      </w:r>
    </w:p>
    <w:p w14:paraId="72F60E15" w14:textId="77777777" w:rsidR="00E57717" w:rsidRDefault="00200697" w:rsidP="00200697">
      <w:pPr>
        <w:pStyle w:val="Heading2"/>
      </w:pPr>
      <w:bookmarkStart w:id="65" w:name="_Toc377313560"/>
      <w:r>
        <w:t>Independent Review Findings</w:t>
      </w:r>
      <w:bookmarkEnd w:id="65"/>
    </w:p>
    <w:p w14:paraId="23104654" w14:textId="4CD2F8F6" w:rsidR="00EE2243" w:rsidRDefault="009339A1" w:rsidP="00EE2243">
      <w:pPr>
        <w:pStyle w:val="Heading5"/>
      </w:pPr>
      <w:bookmarkStart w:id="66" w:name="_Ref372517224"/>
      <w:r w:rsidRPr="009339A1">
        <w:t>Finding</w:t>
      </w:r>
      <w:r w:rsidR="00EE2243">
        <w:t xml:space="preserve"> </w:t>
      </w:r>
      <w:r w:rsidR="002C0E13">
        <w:t>25</w:t>
      </w:r>
      <w:r w:rsidRPr="009339A1">
        <w:t xml:space="preserve">: </w:t>
      </w:r>
      <w:r w:rsidR="00921C92">
        <w:t xml:space="preserve">The </w:t>
      </w:r>
      <w:r w:rsidRPr="009339A1">
        <w:t xml:space="preserve">VDT </w:t>
      </w:r>
      <w:r w:rsidR="00E57717" w:rsidRPr="009339A1">
        <w:t xml:space="preserve">Project Director </w:t>
      </w:r>
      <w:r w:rsidR="00921C92">
        <w:t xml:space="preserve">should have specific </w:t>
      </w:r>
      <w:r w:rsidR="00E57717" w:rsidRPr="009339A1">
        <w:t>qualifications</w:t>
      </w:r>
      <w:r w:rsidR="00A45D5B">
        <w:t xml:space="preserve"> and experience and manage the project to achieve VDT’s needs</w:t>
      </w:r>
      <w:r w:rsidR="00E57717" w:rsidRPr="009339A1">
        <w:t>.</w:t>
      </w:r>
      <w:bookmarkEnd w:id="66"/>
      <w:r>
        <w:t xml:space="preserve"> </w:t>
      </w:r>
    </w:p>
    <w:p w14:paraId="5FE1F5CC" w14:textId="05471A64" w:rsidR="00A45D5B" w:rsidRPr="00BD769E" w:rsidRDefault="009339A1" w:rsidP="00A45D5B">
      <w:pPr>
        <w:pStyle w:val="BodyText"/>
        <w:rPr>
          <w:b/>
          <w:i/>
        </w:rPr>
      </w:pPr>
      <w:r>
        <w:t xml:space="preserve">The Project Director should have experience </w:t>
      </w:r>
      <w:r w:rsidR="00046CAE">
        <w:t>leading</w:t>
      </w:r>
      <w:r w:rsidR="00485822">
        <w:t xml:space="preserve"> large </w:t>
      </w:r>
      <w:r w:rsidR="00046CAE">
        <w:t xml:space="preserve">transformational operations and technology projects for state government.  FAST will manage their team effectively to achieve the timetable, milestones and deliverables of implementation.  </w:t>
      </w:r>
      <w:r w:rsidR="00A45D5B">
        <w:t xml:space="preserve">As communicated to Mathtech during our conference call with James Harrison of FAST, FAST’s ability to maintain their </w:t>
      </w:r>
      <w:r w:rsidR="002C388E">
        <w:t xml:space="preserve">track record </w:t>
      </w:r>
      <w:r w:rsidR="00A45D5B">
        <w:t xml:space="preserve">of implementing on time on budget every time is a direct result of their approach to implementation.  If FAST senses the project timeline slipping, they will take more control and push forward with implementation even if that means they do so without full state participation.  As a result, it is critical that VDT identify an experienced Project Director to manage FAST and the entire project to ensure complete success from Vermont’s perspective.  </w:t>
      </w:r>
      <w:r w:rsidR="00BD769E" w:rsidRPr="00BD769E">
        <w:rPr>
          <w:b/>
          <w:i/>
        </w:rPr>
        <w:t xml:space="preserve">(Maps to Risk </w:t>
      </w:r>
      <w:r w:rsidR="007C725B">
        <w:rPr>
          <w:b/>
          <w:i/>
        </w:rPr>
        <w:t>R</w:t>
      </w:r>
      <w:r w:rsidR="00BD769E" w:rsidRPr="00BD769E">
        <w:rPr>
          <w:b/>
          <w:i/>
        </w:rPr>
        <w:t>40)</w:t>
      </w:r>
    </w:p>
    <w:p w14:paraId="7B008DAE" w14:textId="02789825" w:rsidR="00EE2243" w:rsidRDefault="00485822" w:rsidP="00EE2243">
      <w:pPr>
        <w:pStyle w:val="Heading5"/>
      </w:pPr>
      <w:bookmarkStart w:id="67" w:name="_Ref372517227"/>
      <w:r w:rsidRPr="00485822">
        <w:t>Finding</w:t>
      </w:r>
      <w:r w:rsidR="00EE2243">
        <w:t xml:space="preserve"> </w:t>
      </w:r>
      <w:r w:rsidR="002C0E13">
        <w:t>26</w:t>
      </w:r>
      <w:r w:rsidRPr="00485822">
        <w:t xml:space="preserve">: </w:t>
      </w:r>
      <w:r w:rsidR="009A6DD0" w:rsidRPr="009A6DD0">
        <w:t xml:space="preserve">VDT </w:t>
      </w:r>
      <w:r w:rsidR="00215DAC">
        <w:t xml:space="preserve">operational </w:t>
      </w:r>
      <w:r w:rsidR="009A6DD0" w:rsidRPr="009A6DD0">
        <w:t>staff is eager for the implementation of the ITS</w:t>
      </w:r>
      <w:r w:rsidRPr="00485822">
        <w:t>.</w:t>
      </w:r>
      <w:bookmarkEnd w:id="67"/>
      <w:r>
        <w:t xml:space="preserve">  </w:t>
      </w:r>
    </w:p>
    <w:p w14:paraId="3812059C" w14:textId="5F485866" w:rsidR="00921C92" w:rsidRDefault="00485822" w:rsidP="00E57717">
      <w:pPr>
        <w:pStyle w:val="BodyText"/>
      </w:pPr>
      <w:r>
        <w:t xml:space="preserve">Based upon the independent review interviews recently conducted and prior experiences with key members of the VDT staff, they are very interested </w:t>
      </w:r>
      <w:r w:rsidR="00921C92">
        <w:t xml:space="preserve">to implement the ITS.  </w:t>
      </w:r>
      <w:r>
        <w:t xml:space="preserve">They see many benefits in both operational efficiencies and minimizing the need for extensive technical support teams.  </w:t>
      </w:r>
    </w:p>
    <w:p w14:paraId="75743B8F" w14:textId="67716A2D" w:rsidR="00EE2243" w:rsidRDefault="00DD693C" w:rsidP="00EE2243">
      <w:pPr>
        <w:pStyle w:val="Heading5"/>
      </w:pPr>
      <w:bookmarkStart w:id="68" w:name="_Ref372517228"/>
      <w:r w:rsidRPr="003C46B5">
        <w:t>Finding</w:t>
      </w:r>
      <w:r w:rsidR="00EE2243">
        <w:t xml:space="preserve"> </w:t>
      </w:r>
      <w:r w:rsidR="002C0E13">
        <w:t>27</w:t>
      </w:r>
      <w:r w:rsidRPr="003C46B5">
        <w:t xml:space="preserve">: </w:t>
      </w:r>
      <w:r w:rsidR="009A6DD0" w:rsidRPr="009A6DD0">
        <w:t>Retaining VDT IT resources to continue maintaining existing systems may be difficult.</w:t>
      </w:r>
      <w:bookmarkEnd w:id="68"/>
      <w:r w:rsidR="009A6DD0" w:rsidRPr="009A6DD0">
        <w:t xml:space="preserve">  </w:t>
      </w:r>
    </w:p>
    <w:p w14:paraId="4AEC8D83" w14:textId="15E53B03" w:rsidR="00DD693C" w:rsidRPr="00D0646D" w:rsidRDefault="00921C92" w:rsidP="00DD693C">
      <w:pPr>
        <w:pStyle w:val="BodyText"/>
        <w:rPr>
          <w:b/>
          <w:i/>
        </w:rPr>
      </w:pPr>
      <w:r>
        <w:t xml:space="preserve">While the general sense within VDT is one of eagerness for the ITS implementation, there is trepidation associated with the morale of VDT IT resources that maintain legacy systems.  VDT IT should define and implement an aggressive Organizational Change Management initiative and Communication Plan to attempt to avoid any issues related to VDT IT staff morale.  </w:t>
      </w:r>
      <w:r w:rsidR="003A2FB0" w:rsidRPr="003A2FB0">
        <w:rPr>
          <w:b/>
          <w:i/>
        </w:rPr>
        <w:t xml:space="preserve">(Maps to Risks </w:t>
      </w:r>
      <w:r w:rsidR="007C725B">
        <w:rPr>
          <w:b/>
          <w:i/>
        </w:rPr>
        <w:t>R</w:t>
      </w:r>
      <w:r w:rsidR="003A2FB0" w:rsidRPr="003A2FB0">
        <w:rPr>
          <w:b/>
          <w:i/>
        </w:rPr>
        <w:t xml:space="preserve">1, </w:t>
      </w:r>
      <w:r w:rsidR="007C725B">
        <w:rPr>
          <w:b/>
          <w:i/>
        </w:rPr>
        <w:t>R</w:t>
      </w:r>
      <w:r w:rsidR="003A2FB0" w:rsidRPr="003A2FB0">
        <w:rPr>
          <w:b/>
          <w:i/>
        </w:rPr>
        <w:t>2,</w:t>
      </w:r>
      <w:r w:rsidR="007C725B">
        <w:rPr>
          <w:b/>
          <w:i/>
        </w:rPr>
        <w:t xml:space="preserve"> R</w:t>
      </w:r>
      <w:r w:rsidR="003A2FB0" w:rsidRPr="003A2FB0">
        <w:rPr>
          <w:b/>
          <w:i/>
        </w:rPr>
        <w:t>3)</w:t>
      </w:r>
    </w:p>
    <w:p w14:paraId="72F60E1E" w14:textId="77777777" w:rsidR="00200697" w:rsidRDefault="00200697" w:rsidP="00200697">
      <w:pPr>
        <w:pStyle w:val="Heading1"/>
      </w:pPr>
      <w:bookmarkStart w:id="69" w:name="_Toc377313561"/>
      <w:r>
        <w:t>Cost Benefit Analysis</w:t>
      </w:r>
      <w:bookmarkEnd w:id="69"/>
    </w:p>
    <w:p w14:paraId="72F60E1F" w14:textId="77777777" w:rsidR="00200697" w:rsidRDefault="00200697" w:rsidP="00200697">
      <w:pPr>
        <w:pStyle w:val="Heading2"/>
      </w:pPr>
      <w:bookmarkStart w:id="70" w:name="_Toc377313562"/>
      <w:r>
        <w:t>Costs</w:t>
      </w:r>
      <w:bookmarkEnd w:id="70"/>
    </w:p>
    <w:p w14:paraId="5D186697" w14:textId="5F1C0A76" w:rsidR="009F70C8" w:rsidRDefault="009F70C8" w:rsidP="009F70C8">
      <w:pPr>
        <w:pStyle w:val="BodyText"/>
      </w:pPr>
      <w:r>
        <w:t>Costs for the ITS implementation are higher than the range established (</w:t>
      </w:r>
      <w:r w:rsidRPr="00EC0B68">
        <w:t>$12.4MM to $27.7MM</w:t>
      </w:r>
      <w:r>
        <w:t>) w</w:t>
      </w:r>
      <w:r w:rsidRPr="00EC0B68">
        <w:t>ithin the VDT ITS Business Case Final 2-4-2013.pdf</w:t>
      </w:r>
      <w:r>
        <w:t xml:space="preserve">.  Additionally, the cost of implementation is not able to be met by VDT without engagement with FAST by way of a benefits-based implementation model.  </w:t>
      </w:r>
    </w:p>
    <w:p w14:paraId="76E58B40" w14:textId="0DAA21F3" w:rsidR="009F70C8" w:rsidRDefault="009F70C8" w:rsidP="009F70C8">
      <w:pPr>
        <w:pStyle w:val="BodyText"/>
      </w:pPr>
      <w:r>
        <w:t xml:space="preserve">FAST acknowledges that the cost of ITS implementation reflects a premium value as a result of the benefits-based </w:t>
      </w:r>
      <w:r w:rsidR="00DF0C3D">
        <w:t>approach, but</w:t>
      </w:r>
      <w:r w:rsidR="00044AEB">
        <w:t xml:space="preserve"> the premium value is unknown.</w:t>
      </w:r>
    </w:p>
    <w:p w14:paraId="0BD6BC67" w14:textId="038C89D8" w:rsidR="00434323" w:rsidRDefault="00044AEB" w:rsidP="009E653A">
      <w:pPr>
        <w:pStyle w:val="BodyText"/>
      </w:pPr>
      <w:r>
        <w:t xml:space="preserve">VDT presented </w:t>
      </w:r>
      <w:r w:rsidR="008B3E87">
        <w:t xml:space="preserve">to </w:t>
      </w:r>
      <w:r>
        <w:t xml:space="preserve">Mathtech </w:t>
      </w:r>
      <w:r w:rsidR="00E66292">
        <w:t xml:space="preserve">multiple documents related to cost of ownership and anticipated benefits from the FAST GenTax ITS.  All documents reviewed were used as input to Mathtech’s Cost Benefit Analysis and are listed in </w:t>
      </w:r>
      <w:r w:rsidR="00E66292">
        <w:fldChar w:fldCharType="begin"/>
      </w:r>
      <w:r w:rsidR="00E66292">
        <w:instrText xml:space="preserve"> REF _Ref371947294 \h </w:instrText>
      </w:r>
      <w:r w:rsidR="00E66292">
        <w:fldChar w:fldCharType="separate"/>
      </w:r>
      <w:r w:rsidR="00E66292" w:rsidRPr="005D1E91">
        <w:t xml:space="preserve">Table </w:t>
      </w:r>
      <w:r w:rsidR="00E66292">
        <w:t>3</w:t>
      </w:r>
      <w:r w:rsidR="00E66292" w:rsidRPr="005D1E91">
        <w:t xml:space="preserve"> – Document Inventory</w:t>
      </w:r>
      <w:r w:rsidR="00E66292">
        <w:fldChar w:fldCharType="end"/>
      </w:r>
      <w:r w:rsidR="00E66292">
        <w:t xml:space="preserve">.  </w:t>
      </w:r>
    </w:p>
    <w:p w14:paraId="1508B67E" w14:textId="21C4449E" w:rsidR="002C0E13" w:rsidRDefault="002C0E13" w:rsidP="009E653A">
      <w:pPr>
        <w:pStyle w:val="BodyText"/>
      </w:pPr>
      <w:r>
        <w:t xml:space="preserve">Over the ten year period which includes FAST Implementation, there is a reduction in net cost to the state as a result of implementation.  </w:t>
      </w:r>
    </w:p>
    <w:p w14:paraId="6D34D148" w14:textId="244CAF85" w:rsidR="00434323" w:rsidRDefault="00434323" w:rsidP="009E653A">
      <w:pPr>
        <w:pStyle w:val="BodyText"/>
      </w:pPr>
      <w:r>
        <w:t>Related to cost, the following observations can be made:</w:t>
      </w:r>
    </w:p>
    <w:p w14:paraId="63714E7C" w14:textId="60854824" w:rsidR="00FE4A94" w:rsidRDefault="00FE4A94" w:rsidP="008F360D">
      <w:pPr>
        <w:pStyle w:val="ListBullet"/>
      </w:pPr>
      <w:r>
        <w:t>FAST’s proposed benefits-based implementation model establishes the cost of implementation to consist of Accrued costs and Cash</w:t>
      </w:r>
      <w:r w:rsidR="00016846">
        <w:t>flow</w:t>
      </w:r>
      <w:r>
        <w:t xml:space="preserve"> basis costs.  FASTS Implementation Fees, Licenses, Warranty and Support ($28,377,477) will be Accrued and payment deferred until VDT realizes benefits from implementation.  All other costs will be handled on a Cash</w:t>
      </w:r>
      <w:r w:rsidR="00016846">
        <w:t>flow</w:t>
      </w:r>
      <w:r>
        <w:t xml:space="preserve"> basis.</w:t>
      </w:r>
    </w:p>
    <w:p w14:paraId="02A86D6C" w14:textId="45306234" w:rsidR="00A53989" w:rsidRDefault="00A53989" w:rsidP="008F360D">
      <w:pPr>
        <w:pStyle w:val="ListBullet"/>
      </w:pPr>
      <w:r>
        <w:t xml:space="preserve">VDT will remit payment to FAST for Accrued implementation costs at a rate of 80% of benefits realized from defined programs.  Specific programs and estimates from FAST are noted in the Cost Benefit Analysis.  </w:t>
      </w:r>
    </w:p>
    <w:p w14:paraId="1E4DA8AD" w14:textId="429AFC81" w:rsidR="00434323" w:rsidRDefault="00434323" w:rsidP="008F360D">
      <w:pPr>
        <w:pStyle w:val="ListBullet"/>
      </w:pPr>
      <w:r>
        <w:t>Both Oracle ETM and Advantage Revenue will be replaced by FAST and retired after year 4 of the implementation (FY17), resulting in a reduction in maintenance and operational support costs for those systems</w:t>
      </w:r>
    </w:p>
    <w:p w14:paraId="363140D5" w14:textId="31992E4A" w:rsidR="00FC470B" w:rsidRDefault="00FC470B" w:rsidP="008F360D">
      <w:pPr>
        <w:pStyle w:val="ListBullet"/>
      </w:pPr>
      <w:r>
        <w:t>Multiple backfill resources will be required to support legacy systems through the FAST implementation period</w:t>
      </w:r>
      <w:r w:rsidR="00744D8F">
        <w:t>, increasing overall implementation cost to VDT</w:t>
      </w:r>
      <w:r w:rsidR="002C0E13">
        <w:t>.</w:t>
      </w:r>
    </w:p>
    <w:p w14:paraId="524BBE0A" w14:textId="28B79980" w:rsidR="00434323" w:rsidRDefault="00FC470B" w:rsidP="008F360D">
      <w:pPr>
        <w:pStyle w:val="ListBullet"/>
      </w:pPr>
      <w:r>
        <w:t xml:space="preserve">1 </w:t>
      </w:r>
      <w:r w:rsidR="00434323">
        <w:t>eService portals will be replaced by FAST</w:t>
      </w:r>
      <w:r>
        <w:t xml:space="preserve"> (after FY17) and resulting in an operating cost reduction.  </w:t>
      </w:r>
    </w:p>
    <w:p w14:paraId="35B81AB1" w14:textId="4B69D586" w:rsidR="00FC470B" w:rsidRDefault="00434323" w:rsidP="00FC470B">
      <w:pPr>
        <w:pStyle w:val="ListBullet"/>
      </w:pPr>
      <w:r>
        <w:t>The RSI Data Warehouse will be replaced by FAST and retired after year 4 of the implementation (FY17), resulting in a reduction in maintenance and benefits payments to RSI</w:t>
      </w:r>
    </w:p>
    <w:p w14:paraId="50A29B7F" w14:textId="357F360B" w:rsidR="00AF45D6" w:rsidRDefault="00AF45D6" w:rsidP="008F360D">
      <w:pPr>
        <w:pStyle w:val="ListBullet"/>
      </w:pPr>
      <w:r>
        <w:t>Reductions in maintenance and support costs for Oracle ETM, Advantage Revenue, eServices Portals and the RSI Data Warehouse are offset by increased costs for FAST GenTax maintenance and support</w:t>
      </w:r>
    </w:p>
    <w:p w14:paraId="2070AB19" w14:textId="73FE28FB" w:rsidR="00AF45D6" w:rsidRDefault="00AF45D6" w:rsidP="008F360D">
      <w:pPr>
        <w:pStyle w:val="ListBullet"/>
      </w:pPr>
      <w:r>
        <w:t>Fewer VDT and DII FTEs will be required to support FAST GenTax than legacy systems</w:t>
      </w:r>
    </w:p>
    <w:p w14:paraId="19F1A53C" w14:textId="64FE1CFA" w:rsidR="002C388E" w:rsidRDefault="002C388E" w:rsidP="002C388E">
      <w:pPr>
        <w:pStyle w:val="ListBullet"/>
      </w:pPr>
      <w:r w:rsidRPr="002C388E">
        <w:t xml:space="preserve">If benefits estimates are achieved, Total Cost of Ownership shows a benefit to VDT after implementation of the ITS.  In addition, VDT will have realized enough benefit revenue by the end of FY19 to pay FAST in full.  According to the payment schedule, VDT will pay FAST </w:t>
      </w:r>
      <w:r>
        <w:t>completely by the end of FY20</w:t>
      </w:r>
    </w:p>
    <w:p w14:paraId="72F60E20" w14:textId="77777777" w:rsidR="00200697" w:rsidRDefault="00200697" w:rsidP="00200697">
      <w:pPr>
        <w:pStyle w:val="Heading2"/>
      </w:pPr>
      <w:bookmarkStart w:id="71" w:name="_Toc377313563"/>
      <w:r>
        <w:t>Benefits</w:t>
      </w:r>
      <w:bookmarkEnd w:id="71"/>
    </w:p>
    <w:p w14:paraId="2E350189" w14:textId="4FBC8B6A" w:rsidR="0093727E" w:rsidRDefault="00B56DC3" w:rsidP="009E653A">
      <w:pPr>
        <w:pStyle w:val="BodyText"/>
      </w:pPr>
      <w:r>
        <w:t>From FAST’s proposal, and reiterated in a f</w:t>
      </w:r>
      <w:r w:rsidR="0093727E">
        <w:t>ollow up to the FAST teleconference conducted by Mathtech, FAST identified having experience with a single implementation in which a benefits-based approach was successfully utilized.  During that implementation, FAST noted that all benefits realized were “most achieved through improved collections.”  In addition, FAST noted that “</w:t>
      </w:r>
      <w:r w:rsidR="0093727E" w:rsidRPr="0093727E">
        <w:t>The revenue streams we have identified for VDT are in the areas of audit selection, and identification of non-filers/under-reporters.</w:t>
      </w:r>
      <w:r w:rsidR="0093727E">
        <w:t xml:space="preserve">”  </w:t>
      </w:r>
    </w:p>
    <w:p w14:paraId="0F3D397A" w14:textId="253C6027" w:rsidR="00B56DC3" w:rsidRDefault="00B56DC3" w:rsidP="009E653A">
      <w:pPr>
        <w:pStyle w:val="BodyText"/>
      </w:pPr>
      <w:r>
        <w:t>FAST also notes that many clients attribute increased revenues to the implementation of GenTax and notes, specifically, in their proposal:</w:t>
      </w:r>
    </w:p>
    <w:p w14:paraId="67620427" w14:textId="77777777" w:rsidR="009F70C8" w:rsidRPr="00380CEB" w:rsidRDefault="009F70C8" w:rsidP="009F70C8">
      <w:pPr>
        <w:pStyle w:val="BodyText"/>
        <w:ind w:left="720"/>
        <w:rPr>
          <w:b/>
          <w:i/>
          <w:iCs/>
          <w:color w:val="0000FF"/>
          <w:sz w:val="20"/>
        </w:rPr>
      </w:pPr>
      <w:r w:rsidRPr="00380CEB">
        <w:rPr>
          <w:b/>
          <w:i/>
          <w:iCs/>
          <w:color w:val="0000FF"/>
          <w:sz w:val="20"/>
        </w:rPr>
        <w:t>From the FAST Proposal:</w:t>
      </w:r>
    </w:p>
    <w:p w14:paraId="47A7BE45" w14:textId="281CC148" w:rsidR="00B2470D" w:rsidRPr="009E653A" w:rsidRDefault="00B2470D" w:rsidP="009F70C8">
      <w:pPr>
        <w:pStyle w:val="BodyText"/>
        <w:ind w:left="720"/>
        <w:rPr>
          <w:i/>
          <w:iCs/>
          <w:color w:val="0000FF"/>
          <w:sz w:val="20"/>
        </w:rPr>
      </w:pPr>
      <w:r w:rsidRPr="009E653A">
        <w:rPr>
          <w:i/>
          <w:iCs/>
          <w:color w:val="0000FF"/>
          <w:sz w:val="20"/>
        </w:rPr>
        <w:t>FAST understands the need to fund the ITS project through the generation of undiscovered and delinquent revenue and cost efficiencies derived from the new ITS. GenTax has proven to deliver benefits to all our state clients. For the California Employment Development Department, GenTax produced incremental revenue of $75 million in 18 months (January 2010 to June 2011) and recovered much of the agency’s project costs within one year of project initiation. For the three-year period from 2008-2011, the Illinois Department of Revenue directly attributes the generation of $350 million to the agency’s use of GenTax. States with smaller populations have also generated additional revenues with GenTax. Idaho State Tax Commission estimates that it has collected more than $215 million in benefits from GenTax over 10 years. Montana Department of Revenue’s account-receivable collection revenues increased $17 million, or 41%, in the two years following the agency’s first production with GenTax. New Mexico Taxation and Revenue department also generated benefits through use of GenTax, increasing delinquent tax collections by $50 million in its first 17 months of production.</w:t>
      </w:r>
    </w:p>
    <w:p w14:paraId="18213955" w14:textId="29ABE617" w:rsidR="000C799B" w:rsidRDefault="000C799B" w:rsidP="00B56DC3">
      <w:pPr>
        <w:pStyle w:val="BodyText"/>
      </w:pPr>
      <w:r>
        <w:t xml:space="preserve">While </w:t>
      </w:r>
      <w:r w:rsidR="009F70C8">
        <w:t>FAST has proposed that specific benefit funding values be identified during the Project Preparation Phase of implementation</w:t>
      </w:r>
      <w:r>
        <w:t xml:space="preserve"> </w:t>
      </w:r>
      <w:r w:rsidR="009F70C8">
        <w:t xml:space="preserve">there are no tasks in the Preliminary Project Plan defining such a milestones for the development of specific benefits.  </w:t>
      </w:r>
      <w:r>
        <w:t xml:space="preserve">However; FAST and VDT have been involved in analysis to identify potential benefits, which have been used to develop the Cost Benefit Analysis.  </w:t>
      </w:r>
      <w:r w:rsidR="0015595E">
        <w:t xml:space="preserve">VDT feels that the benefit areas and values are conservative and highly likely to be achieved.  </w:t>
      </w:r>
    </w:p>
    <w:p w14:paraId="3DA17CBB" w14:textId="773AE806" w:rsidR="00FE4A94" w:rsidRDefault="00FE4A94" w:rsidP="00B56DC3">
      <w:pPr>
        <w:pStyle w:val="BodyText"/>
      </w:pPr>
      <w:r>
        <w:t>Details related to benefits:</w:t>
      </w:r>
    </w:p>
    <w:p w14:paraId="260A3947" w14:textId="5C91ACA4" w:rsidR="00FE4A94" w:rsidRDefault="00FE4A94" w:rsidP="00FE4A94">
      <w:pPr>
        <w:pStyle w:val="ListBullet"/>
      </w:pPr>
      <w:r>
        <w:t>VDT’s existing RSI Data Warehouse provides an annual benefit to VDT, a percentage of which go</w:t>
      </w:r>
      <w:r w:rsidR="002C0E13">
        <w:t>es</w:t>
      </w:r>
      <w:r>
        <w:t xml:space="preserve"> to the Vermont General Fund; FAST will replace the RSI Data Warehouse in FY18, but no benefit estimates were available for the FAST Data Warehouse.</w:t>
      </w:r>
    </w:p>
    <w:p w14:paraId="60D8E789" w14:textId="77777777" w:rsidR="00A53989" w:rsidRDefault="00A53989" w:rsidP="00FE4A94">
      <w:pPr>
        <w:pStyle w:val="ListBullet"/>
      </w:pPr>
      <w:r>
        <w:t xml:space="preserve">Based on FAST estimates, over the period of FY14-FY23, VT will realize a benefit in excess of $36MM.  Fiscal years 14-19 will incur a net cost to VT while Fiscal Years 20-23 will incur a net benefit, due to the total repayment of FAST Implementation costs by the end of FY20.  </w:t>
      </w:r>
    </w:p>
    <w:p w14:paraId="48FAB8D1" w14:textId="55910D48" w:rsidR="00486923" w:rsidRPr="00486923" w:rsidRDefault="00486923" w:rsidP="00486923">
      <w:pPr>
        <w:pStyle w:val="Heading2"/>
      </w:pPr>
      <w:bookmarkStart w:id="72" w:name="_Toc377313564"/>
      <w:r>
        <w:t>Independent Review Findings</w:t>
      </w:r>
      <w:bookmarkEnd w:id="72"/>
    </w:p>
    <w:p w14:paraId="1FA01428" w14:textId="4C5A2A45" w:rsidR="00EE2243" w:rsidRDefault="00B56DC3" w:rsidP="00EE2243">
      <w:pPr>
        <w:pStyle w:val="Heading5"/>
      </w:pPr>
      <w:bookmarkStart w:id="73" w:name="_Ref372517236"/>
      <w:r w:rsidRPr="00EC097E">
        <w:t>Finding</w:t>
      </w:r>
      <w:r w:rsidR="00EE2243">
        <w:t xml:space="preserve"> </w:t>
      </w:r>
      <w:r w:rsidR="002C0E13">
        <w:t>28</w:t>
      </w:r>
      <w:r w:rsidRPr="00EC097E">
        <w:t xml:space="preserve">: </w:t>
      </w:r>
      <w:r>
        <w:t>FAST has completed a single benefits-based implementation of their ITS</w:t>
      </w:r>
      <w:r w:rsidR="00F86D14">
        <w:t>.</w:t>
      </w:r>
      <w:bookmarkEnd w:id="73"/>
      <w:r w:rsidR="00F86D14">
        <w:t xml:space="preserve">  </w:t>
      </w:r>
      <w:r>
        <w:t xml:space="preserve"> </w:t>
      </w:r>
    </w:p>
    <w:p w14:paraId="24F6CA4B" w14:textId="1615A84D" w:rsidR="00B56DC3" w:rsidRDefault="0030337D" w:rsidP="00B56DC3">
      <w:pPr>
        <w:pStyle w:val="BodyText"/>
      </w:pPr>
      <w:r>
        <w:t>FAST has completed only one benefits-based implementation</w:t>
      </w:r>
      <w:r w:rsidR="00F86D14">
        <w:t xml:space="preserve">.  The contractual details of an implementation that relies on benefits achieved by the implementing agency must be well-defined and agreed to by both parties.  Specifically, the scope, assumptions, metrics, and timeframes for expected benefits must be part of the contract.  FAST’s limited experience with such a formal arrangement should be considered as Vermont negotiates the ITS contract.  It is suggested that the details of the benefits-based arrangement be finalized prior to contract finalization.  </w:t>
      </w:r>
      <w:r w:rsidR="0005188F" w:rsidRPr="00C53E41">
        <w:rPr>
          <w:b/>
          <w:i/>
        </w:rPr>
        <w:t xml:space="preserve">(Maps to Risk </w:t>
      </w:r>
      <w:r w:rsidR="007C725B">
        <w:rPr>
          <w:b/>
          <w:i/>
        </w:rPr>
        <w:t>R</w:t>
      </w:r>
      <w:r w:rsidR="0005188F" w:rsidRPr="00C53E41">
        <w:rPr>
          <w:b/>
          <w:i/>
        </w:rPr>
        <w:t>7)</w:t>
      </w:r>
    </w:p>
    <w:p w14:paraId="288C0752" w14:textId="3A1482B7" w:rsidR="00EE2243" w:rsidRDefault="00F86D14" w:rsidP="00EE2243">
      <w:pPr>
        <w:pStyle w:val="Heading5"/>
      </w:pPr>
      <w:bookmarkStart w:id="74" w:name="_Ref372517238"/>
      <w:r w:rsidRPr="00F86D14">
        <w:t>Finding</w:t>
      </w:r>
      <w:r w:rsidR="00EE2243">
        <w:t xml:space="preserve"> </w:t>
      </w:r>
      <w:r w:rsidR="002C0E13">
        <w:t>29</w:t>
      </w:r>
      <w:r w:rsidRPr="00F86D14">
        <w:t>: FAST has identified multiple states that attribute benefits to their ITS.</w:t>
      </w:r>
      <w:bookmarkEnd w:id="74"/>
      <w:r>
        <w:t xml:space="preserve">  </w:t>
      </w:r>
    </w:p>
    <w:p w14:paraId="1E19E226" w14:textId="1F019AA0" w:rsidR="00F86D14" w:rsidRDefault="00F86D14" w:rsidP="00B56DC3">
      <w:pPr>
        <w:pStyle w:val="BodyText"/>
      </w:pPr>
      <w:r>
        <w:t xml:space="preserve">While FAST has only completed a single benefits-based implementation, they have provided a listing of multiple states that attribute increased revenues with the implementation of GenTax.  This is a positive indication that Vermont will be able to achieve benefits from the implementation of GenTax.  It also provides a possible source of benchmarking data as Vermont works out benefits-related details.  </w:t>
      </w:r>
    </w:p>
    <w:p w14:paraId="48285ED5" w14:textId="3FE784AA" w:rsidR="00044AEB" w:rsidRDefault="00044AEB" w:rsidP="00044AEB">
      <w:pPr>
        <w:pStyle w:val="Heading5"/>
      </w:pPr>
      <w:bookmarkStart w:id="75" w:name="_Ref372525202"/>
      <w:r w:rsidRPr="00F86D14">
        <w:t>Finding</w:t>
      </w:r>
      <w:r>
        <w:t xml:space="preserve"> </w:t>
      </w:r>
      <w:r w:rsidR="002C0E13">
        <w:t>30</w:t>
      </w:r>
      <w:r w:rsidRPr="00F86D14">
        <w:t xml:space="preserve">: FAST </w:t>
      </w:r>
      <w:r>
        <w:t>plans the definition of implementation benefits within the first phase of the project.</w:t>
      </w:r>
      <w:bookmarkEnd w:id="75"/>
      <w:r>
        <w:t xml:space="preserve">  </w:t>
      </w:r>
    </w:p>
    <w:p w14:paraId="4FCAE0CD" w14:textId="1DFAE888" w:rsidR="00044AEB" w:rsidRDefault="005F3936" w:rsidP="00044AEB">
      <w:pPr>
        <w:pStyle w:val="BodyText"/>
        <w:rPr>
          <w:b/>
          <w:i/>
        </w:rPr>
      </w:pPr>
      <w:r>
        <w:t xml:space="preserve">While some benefit analysis has taken place, </w:t>
      </w:r>
      <w:r w:rsidR="00044AEB">
        <w:t xml:space="preserve">FAST </w:t>
      </w:r>
      <w:r w:rsidR="0015595E">
        <w:t xml:space="preserve">proposes </w:t>
      </w:r>
      <w:r w:rsidR="00044AEB">
        <w:t xml:space="preserve">that detailed benefits analysis occur within the first phase of the project because of the need to delve into detail regarding how VDT operates.  </w:t>
      </w:r>
      <w:r w:rsidR="0040500C">
        <w:t>While this is a reasonable approach, it does put VDT at risk after contract finalization i</w:t>
      </w:r>
      <w:r w:rsidR="0015595E">
        <w:t xml:space="preserve">f the </w:t>
      </w:r>
      <w:r w:rsidR="0040500C">
        <w:t xml:space="preserve">benefits to be identified are insufficient to fund the implementation.  </w:t>
      </w:r>
      <w:r w:rsidR="0040500C" w:rsidRPr="0040500C">
        <w:rPr>
          <w:b/>
          <w:i/>
        </w:rPr>
        <w:t>(Maps to Risk R7)</w:t>
      </w:r>
      <w:r w:rsidR="0040500C">
        <w:t xml:space="preserve">  </w:t>
      </w:r>
      <w:r w:rsidR="00044AEB">
        <w:t xml:space="preserve">  </w:t>
      </w:r>
    </w:p>
    <w:p w14:paraId="5DEF1409" w14:textId="2FD953F6" w:rsidR="00EE2243" w:rsidRDefault="006D5E8C" w:rsidP="00EE2243">
      <w:pPr>
        <w:pStyle w:val="Heading5"/>
      </w:pPr>
      <w:bookmarkStart w:id="76" w:name="_Ref372517242"/>
      <w:r w:rsidRPr="00842BA1">
        <w:t>Finding</w:t>
      </w:r>
      <w:r w:rsidR="00EE2243">
        <w:t xml:space="preserve"> </w:t>
      </w:r>
      <w:r w:rsidR="002C0E13">
        <w:t>31</w:t>
      </w:r>
      <w:r w:rsidRPr="00842BA1">
        <w:t xml:space="preserve">: </w:t>
      </w:r>
      <w:r w:rsidR="0015595E">
        <w:t>B</w:t>
      </w:r>
      <w:r>
        <w:t>enefits-based implementation metrics</w:t>
      </w:r>
      <w:r w:rsidR="0015595E">
        <w:t xml:space="preserve"> should be defined prior to contract finalization</w:t>
      </w:r>
      <w:r w:rsidRPr="00842BA1">
        <w:t>.</w:t>
      </w:r>
      <w:bookmarkEnd w:id="76"/>
      <w:r>
        <w:t xml:space="preserve">  </w:t>
      </w:r>
    </w:p>
    <w:p w14:paraId="65EE2F6E" w14:textId="6C7BC21F" w:rsidR="006D5E8C" w:rsidRDefault="006D5E8C" w:rsidP="006D5E8C">
      <w:pPr>
        <w:pStyle w:val="BodyText"/>
        <w:rPr>
          <w:b/>
          <w:i/>
        </w:rPr>
      </w:pPr>
      <w:r>
        <w:t xml:space="preserve">FAST has proposed (per VDT requirements) an ITS Implementation that will be conducted using a benefits-based methodology whereby VDT will pay FAST based upon achievement of milestones of increased revenue.  This puts FAST at risk as they will not be paid until VDT achieves the increased revenue milestones.  When negotiating the contract, revenue milestones and payment terms, VDT should ensure that the revenue milestones identified are clearly defined for both parties, are realistic, achievable, and have a defined measurement basis.  </w:t>
      </w:r>
      <w:r w:rsidR="00C53E41" w:rsidRPr="00C53E41">
        <w:rPr>
          <w:b/>
          <w:i/>
        </w:rPr>
        <w:t xml:space="preserve">(Maps to Risk </w:t>
      </w:r>
      <w:r w:rsidR="007C725B">
        <w:rPr>
          <w:b/>
          <w:i/>
        </w:rPr>
        <w:t>R</w:t>
      </w:r>
      <w:r w:rsidR="00C53E41" w:rsidRPr="00C53E41">
        <w:rPr>
          <w:b/>
          <w:i/>
        </w:rPr>
        <w:t>7)</w:t>
      </w:r>
    </w:p>
    <w:p w14:paraId="0AC43754" w14:textId="3F76D4EA" w:rsidR="008B6378" w:rsidRDefault="008B6378" w:rsidP="008B6378">
      <w:pPr>
        <w:pStyle w:val="Heading5"/>
      </w:pPr>
      <w:bookmarkStart w:id="77" w:name="_Ref373916031"/>
      <w:r>
        <w:t xml:space="preserve">Finding </w:t>
      </w:r>
      <w:r w:rsidR="002C0E13">
        <w:t>32</w:t>
      </w:r>
      <w:r>
        <w:t xml:space="preserve">:  If benefits estimates are achieved, </w:t>
      </w:r>
      <w:r w:rsidRPr="008B6378">
        <w:t xml:space="preserve">Total Cost of Ownership shows a benefit to VDT after implementation of the ITS. </w:t>
      </w:r>
      <w:r>
        <w:t xml:space="preserve"> In addition, VDT will have realized enough benefit revenue by the end of FY19 to pay FAST in full.  According to the payment schedule, VDT will pay FAST completely by the end of FY20.</w:t>
      </w:r>
      <w:bookmarkEnd w:id="77"/>
      <w:r>
        <w:t xml:space="preserve">  </w:t>
      </w:r>
    </w:p>
    <w:p w14:paraId="6D78CA09" w14:textId="6A885860" w:rsidR="008B6378" w:rsidRPr="008B6378" w:rsidRDefault="008B6378" w:rsidP="008B6378">
      <w:pPr>
        <w:pStyle w:val="BodyText"/>
      </w:pPr>
      <w:r>
        <w:t xml:space="preserve">Based on the benefits estimates provided by FAST, VDT will experience a revenue increase during and after implementation of the ITS.  This revenue increase will be split between the VT General Fund (20%) and repayment to FAST for the ITS implementation (80%).  The attached Cost Benefit Analysis includes detail regarding revenue and repayment to FAST.  </w:t>
      </w:r>
    </w:p>
    <w:p w14:paraId="7B758281" w14:textId="7ED84690" w:rsidR="008B6378" w:rsidRDefault="008B6378" w:rsidP="00CD0A5C">
      <w:pPr>
        <w:pStyle w:val="Heading5"/>
      </w:pPr>
      <w:bookmarkStart w:id="78" w:name="_Ref373916042"/>
      <w:r>
        <w:t xml:space="preserve">Finding </w:t>
      </w:r>
      <w:r w:rsidR="002C0E13">
        <w:t>33</w:t>
      </w:r>
      <w:r>
        <w:t>:  Benefits from the ITS implementation are anticipated to continue beyond the repayment period for FAST and should be measured as such as they represent a new annual revenue value for VDT going forward.</w:t>
      </w:r>
      <w:bookmarkEnd w:id="78"/>
      <w:r>
        <w:t xml:space="preserve">  </w:t>
      </w:r>
    </w:p>
    <w:p w14:paraId="661C7909" w14:textId="22EC9C4A" w:rsidR="008B6378" w:rsidRPr="008B6378" w:rsidRDefault="008B6378" w:rsidP="00CD0A5C">
      <w:pPr>
        <w:pStyle w:val="BodyText"/>
      </w:pPr>
      <w:r>
        <w:t xml:space="preserve">The focus of the benefits-based implementation of GenTax is for VDT to achieve enough benefits revenue to repay FAST for implementation.  However; there is no reason to assume that the benefits will cease to be realized by VDT after FAST is repaid.  The new ITS will enable a new method of operating for VDT and will continue to enable benefits to be realized.  Those benefits should continue to be measured as they will contribute directly to the </w:t>
      </w:r>
      <w:r w:rsidR="0015595E">
        <w:t xml:space="preserve">VDT budget.  </w:t>
      </w:r>
      <w:r>
        <w:t xml:space="preserve">    </w:t>
      </w:r>
    </w:p>
    <w:p w14:paraId="6F900EB9" w14:textId="7AD41390" w:rsidR="008B6378" w:rsidRDefault="008B6378" w:rsidP="00CD0A5C">
      <w:pPr>
        <w:pStyle w:val="Heading5"/>
      </w:pPr>
      <w:bookmarkStart w:id="79" w:name="_Ref373916086"/>
      <w:r>
        <w:t xml:space="preserve">Finding </w:t>
      </w:r>
      <w:r w:rsidR="002C0E13">
        <w:t>34</w:t>
      </w:r>
      <w:r>
        <w:t>:  If benefits estimates are achieved,</w:t>
      </w:r>
      <w:r w:rsidR="002C0E13">
        <w:t xml:space="preserve"> over the period of FY14-FY23, VT will realize a benefit in excess of $36MM.  Fiscal years 14-19 will incur a net cost to VT while Fiscal Years 20-23 will incur a net benefit, due to the total repayment of FAST Implementation costs by the end of FY20.  </w:t>
      </w:r>
      <w:bookmarkEnd w:id="79"/>
    </w:p>
    <w:p w14:paraId="7A9F0F30" w14:textId="34FF6915" w:rsidR="008B6378" w:rsidRDefault="008B6378" w:rsidP="008B6378">
      <w:pPr>
        <w:pStyle w:val="BodyText"/>
      </w:pPr>
      <w:r>
        <w:t xml:space="preserve">The values shown in the Cost Benefit Analysis portray an increase in revenue flowing to the </w:t>
      </w:r>
      <w:r w:rsidR="002C0E13">
        <w:t xml:space="preserve">state </w:t>
      </w:r>
      <w:r>
        <w:t xml:space="preserve">as a result of the ITS implementation.  </w:t>
      </w:r>
    </w:p>
    <w:p w14:paraId="5DFA4D1E" w14:textId="4645959C" w:rsidR="003F1250" w:rsidRDefault="003F1250" w:rsidP="00CD0A5C">
      <w:pPr>
        <w:pStyle w:val="Heading5"/>
      </w:pPr>
      <w:bookmarkStart w:id="80" w:name="_Ref373916099"/>
      <w:r>
        <w:t xml:space="preserve">Finding </w:t>
      </w:r>
      <w:r w:rsidR="002C0E13">
        <w:t>35</w:t>
      </w:r>
      <w:r>
        <w:t xml:space="preserve">:  While the benefits anticipated to be realized by VDT upon implementation of the FAST ITS are </w:t>
      </w:r>
      <w:r w:rsidR="00124EB2">
        <w:t>greater than the cost of implementation, the premium being charged by FAST for the benefits-based model is unknown.</w:t>
      </w:r>
      <w:bookmarkEnd w:id="80"/>
    </w:p>
    <w:p w14:paraId="389733BA" w14:textId="7F4BF774" w:rsidR="00124EB2" w:rsidRPr="008B6378" w:rsidRDefault="00124EB2" w:rsidP="008B6378">
      <w:pPr>
        <w:pStyle w:val="BodyText"/>
      </w:pPr>
      <w:r>
        <w:t xml:space="preserve">FAST notes in Tab M Cost Proposal – Cost notes “…our price reflects a premium due to the risks associated with a benefits-based project such as this one.”  The premium value is unknown and as a result, could represent a greater overall cost over time to VDT compared to an alternative method of funding.  VDT would still target the same revenue benefits from the implementation of the ITS, but an alternative funding method may enable a lower implementation cost, yielding more revenue for the state.  </w:t>
      </w:r>
    </w:p>
    <w:p w14:paraId="72F60E21" w14:textId="425D4471" w:rsidR="00200697" w:rsidRDefault="009E653A" w:rsidP="00200697">
      <w:pPr>
        <w:pStyle w:val="Heading1"/>
      </w:pPr>
      <w:bookmarkStart w:id="81" w:name="_Toc371952044"/>
      <w:bookmarkStart w:id="82" w:name="_Toc377313565"/>
      <w:bookmarkEnd w:id="81"/>
      <w:r>
        <w:t>R</w:t>
      </w:r>
      <w:r w:rsidR="00200697">
        <w:t>isk Management Plan</w:t>
      </w:r>
      <w:bookmarkEnd w:id="82"/>
    </w:p>
    <w:p w14:paraId="72F60E22" w14:textId="66ABF0EB" w:rsidR="00770222" w:rsidRDefault="009E653A" w:rsidP="00200697">
      <w:pPr>
        <w:pStyle w:val="Heading2"/>
      </w:pPr>
      <w:bookmarkStart w:id="83" w:name="_Toc377313566"/>
      <w:r>
        <w:t>Risk Register</w:t>
      </w:r>
      <w:r w:rsidR="00486923">
        <w:t xml:space="preserve"> and Mitigation Strategies Plan</w:t>
      </w:r>
      <w:bookmarkEnd w:id="83"/>
    </w:p>
    <w:p w14:paraId="65529D83" w14:textId="3110654A" w:rsidR="009E653A" w:rsidRDefault="00FA2D6E" w:rsidP="009E653A">
      <w:pPr>
        <w:pStyle w:val="BodyText"/>
      </w:pPr>
      <w:r>
        <w:t xml:space="preserve">Mathtech conducted workshops with VDT and DII resources over two days in Montpelier.  The purpose of the workshops was to review and finalize risks associated with the ITS Implementation.  Mathtech began the workshops by reviewing a list of pre-defined risk based on </w:t>
      </w:r>
      <w:r w:rsidR="009E653A">
        <w:t xml:space="preserve">experience with ITS and related Tax technologies, and typical State Agency large system </w:t>
      </w:r>
      <w:r w:rsidR="002F7FAE">
        <w:t>implementation</w:t>
      </w:r>
      <w:r>
        <w:t xml:space="preserve">s.  </w:t>
      </w:r>
      <w:r w:rsidR="00F86D14">
        <w:t xml:space="preserve">Mathtech subsequently reviewed, refined and edited Probability and Risk scores.  The content of the Risk Register (without scoring) was provided to all VDT personnel for review who attended the workshops.  No changes to the content were suggested.  </w:t>
      </w:r>
      <w:r>
        <w:t xml:space="preserve">The full Risk </w:t>
      </w:r>
      <w:r w:rsidR="00486923">
        <w:t>Register and Mitigation Strategies Plan</w:t>
      </w:r>
      <w:r>
        <w:t xml:space="preserve"> can be found in Appendix A, and a graphical mapping is depicted below</w:t>
      </w:r>
      <w:r w:rsidR="00486923">
        <w:t>:</w:t>
      </w:r>
    </w:p>
    <w:p w14:paraId="6FB43CA3" w14:textId="53FF54A9" w:rsidR="00CE6879" w:rsidRDefault="002C0E13" w:rsidP="00D2286D">
      <w:pPr>
        <w:pStyle w:val="BodyText"/>
      </w:pPr>
      <w:r w:rsidRPr="002C0E13">
        <w:t xml:space="preserve"> </w:t>
      </w:r>
      <w:r w:rsidRPr="002C0E13">
        <w:rPr>
          <w:noProof/>
        </w:rPr>
        <w:drawing>
          <wp:inline distT="0" distB="0" distL="0" distR="0" wp14:anchorId="3F23CED9" wp14:editId="4FE9B631">
            <wp:extent cx="5596255" cy="5411194"/>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255" cy="5411194"/>
                    </a:xfrm>
                    <a:prstGeom prst="rect">
                      <a:avLst/>
                    </a:prstGeom>
                    <a:noFill/>
                    <a:ln>
                      <a:noFill/>
                    </a:ln>
                  </pic:spPr>
                </pic:pic>
              </a:graphicData>
            </a:graphic>
          </wp:inline>
        </w:drawing>
      </w:r>
    </w:p>
    <w:p w14:paraId="08FEFAD4" w14:textId="1CB8CBDE" w:rsidR="0040500C" w:rsidRDefault="00651685" w:rsidP="00544F45">
      <w:pPr>
        <w:pStyle w:val="Heading1"/>
      </w:pPr>
      <w:bookmarkStart w:id="84" w:name="_Toc377313567"/>
      <w:r>
        <w:t>Appendix</w:t>
      </w:r>
      <w:r w:rsidR="002C0E13">
        <w:t xml:space="preserve"> A – FAST Rate Card</w:t>
      </w:r>
      <w:bookmarkEnd w:id="84"/>
    </w:p>
    <w:p w14:paraId="2BAFB48E" w14:textId="744EBE22" w:rsidR="00651685" w:rsidRDefault="00651685" w:rsidP="00651685">
      <w:pPr>
        <w:pStyle w:val="BodyText"/>
      </w:pPr>
      <w:r>
        <w:t xml:space="preserve">FAST provided a rate table for hourly rates for optional future work </w:t>
      </w:r>
      <w:r w:rsidRPr="00651685">
        <w:t>that could be procured after implementation</w:t>
      </w:r>
      <w:r>
        <w:t>.  A</w:t>
      </w:r>
      <w:r w:rsidRPr="00651685">
        <w:t xml:space="preserve">dditional hours (and thus costs) are not required because of VDT’s </w:t>
      </w:r>
      <w:r>
        <w:t>choice</w:t>
      </w:r>
      <w:r w:rsidRPr="00651685">
        <w:t xml:space="preserve"> of Service Level 3 Support which would be in place immediately after implementation</w:t>
      </w:r>
      <w:r>
        <w:t xml:space="preserve">.  If VDT chose an alternate support level, additional effort from FAST (and cost) may be required.  </w:t>
      </w:r>
    </w:p>
    <w:p w14:paraId="23516E30" w14:textId="7065973F" w:rsidR="00651685" w:rsidRDefault="00651685" w:rsidP="00651685">
      <w:pPr>
        <w:pStyle w:val="Heading4"/>
      </w:pPr>
      <w:r>
        <w:t xml:space="preserve">Table 15 – FAST Rate Card for Future Work </w:t>
      </w:r>
    </w:p>
    <w:p w14:paraId="05FCDB97" w14:textId="77777777" w:rsidR="00651685" w:rsidRPr="005C3ABC" w:rsidRDefault="00651685" w:rsidP="00651685">
      <w:pPr>
        <w:pStyle w:val="BodyText"/>
      </w:pPr>
    </w:p>
    <w:tbl>
      <w:tblPr>
        <w:tblStyle w:val="TableGrid"/>
        <w:tblW w:w="0" w:type="auto"/>
        <w:tblLook w:val="00A0" w:firstRow="1" w:lastRow="0" w:firstColumn="1" w:lastColumn="0" w:noHBand="0" w:noVBand="0"/>
      </w:tblPr>
      <w:tblGrid>
        <w:gridCol w:w="2808"/>
        <w:gridCol w:w="1440"/>
      </w:tblGrid>
      <w:tr w:rsidR="00651685" w:rsidRPr="00D0646D" w14:paraId="03B12400" w14:textId="77777777" w:rsidTr="00FC470B">
        <w:tc>
          <w:tcPr>
            <w:tcW w:w="2808" w:type="dxa"/>
            <w:shd w:val="clear" w:color="auto" w:fill="BFBFBF" w:themeFill="background1" w:themeFillShade="BF"/>
            <w:vAlign w:val="bottom"/>
          </w:tcPr>
          <w:p w14:paraId="5080F384" w14:textId="77777777" w:rsidR="00651685" w:rsidRPr="00D0646D" w:rsidRDefault="00651685" w:rsidP="00FC470B">
            <w:pPr>
              <w:jc w:val="center"/>
              <w:rPr>
                <w:rFonts w:cs="Arial"/>
                <w:b/>
                <w:sz w:val="18"/>
                <w:szCs w:val="20"/>
              </w:rPr>
            </w:pPr>
            <w:r>
              <w:rPr>
                <w:rFonts w:cs="Arial"/>
                <w:b/>
                <w:color w:val="000000"/>
                <w:sz w:val="18"/>
                <w:szCs w:val="20"/>
              </w:rPr>
              <w:t>Labor Category</w:t>
            </w:r>
          </w:p>
        </w:tc>
        <w:tc>
          <w:tcPr>
            <w:tcW w:w="1440" w:type="dxa"/>
            <w:shd w:val="clear" w:color="auto" w:fill="BFBFBF" w:themeFill="background1" w:themeFillShade="BF"/>
            <w:vAlign w:val="center"/>
          </w:tcPr>
          <w:p w14:paraId="7E0AE99D" w14:textId="77777777" w:rsidR="00651685" w:rsidRPr="00D0646D" w:rsidRDefault="00651685" w:rsidP="00FC470B">
            <w:pPr>
              <w:jc w:val="center"/>
              <w:rPr>
                <w:rFonts w:cs="Arial"/>
                <w:b/>
                <w:bCs/>
                <w:color w:val="000000"/>
                <w:sz w:val="18"/>
                <w:szCs w:val="20"/>
              </w:rPr>
            </w:pPr>
            <w:r>
              <w:rPr>
                <w:rFonts w:cs="Arial"/>
                <w:b/>
                <w:bCs/>
                <w:color w:val="000000"/>
                <w:sz w:val="18"/>
                <w:szCs w:val="20"/>
              </w:rPr>
              <w:t>Hourly Rate</w:t>
            </w:r>
          </w:p>
        </w:tc>
      </w:tr>
      <w:tr w:rsidR="00651685" w:rsidRPr="00D0646D" w14:paraId="28F5B461" w14:textId="77777777" w:rsidTr="00FC470B">
        <w:tc>
          <w:tcPr>
            <w:tcW w:w="2808" w:type="dxa"/>
          </w:tcPr>
          <w:p w14:paraId="3DBEC022" w14:textId="77777777" w:rsidR="00651685" w:rsidRPr="00D0646D" w:rsidRDefault="00651685" w:rsidP="00FC470B">
            <w:pPr>
              <w:rPr>
                <w:rFonts w:cs="Arial"/>
                <w:color w:val="000000"/>
                <w:sz w:val="18"/>
                <w:szCs w:val="20"/>
              </w:rPr>
            </w:pPr>
            <w:r w:rsidRPr="000220F0">
              <w:rPr>
                <w:sz w:val="18"/>
                <w:szCs w:val="18"/>
              </w:rPr>
              <w:t>Project Manager</w:t>
            </w:r>
          </w:p>
        </w:tc>
        <w:tc>
          <w:tcPr>
            <w:tcW w:w="1440" w:type="dxa"/>
            <w:vAlign w:val="bottom"/>
          </w:tcPr>
          <w:p w14:paraId="59DDB1AA"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793E9C31" w14:textId="77777777" w:rsidTr="00FC470B">
        <w:tc>
          <w:tcPr>
            <w:tcW w:w="2808" w:type="dxa"/>
          </w:tcPr>
          <w:p w14:paraId="7515BD1C" w14:textId="77777777" w:rsidR="00651685" w:rsidRPr="00D0646D" w:rsidRDefault="00651685" w:rsidP="00FC470B">
            <w:pPr>
              <w:rPr>
                <w:rFonts w:cs="Arial"/>
                <w:color w:val="000000"/>
                <w:sz w:val="18"/>
                <w:szCs w:val="20"/>
              </w:rPr>
            </w:pPr>
            <w:r w:rsidRPr="000220F0">
              <w:rPr>
                <w:sz w:val="18"/>
                <w:szCs w:val="18"/>
              </w:rPr>
              <w:t>Functional Lead</w:t>
            </w:r>
          </w:p>
        </w:tc>
        <w:tc>
          <w:tcPr>
            <w:tcW w:w="1440" w:type="dxa"/>
            <w:vAlign w:val="bottom"/>
          </w:tcPr>
          <w:p w14:paraId="5E04CD23"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0A7B803F" w14:textId="77777777" w:rsidTr="00FC470B">
        <w:tc>
          <w:tcPr>
            <w:tcW w:w="2808" w:type="dxa"/>
          </w:tcPr>
          <w:p w14:paraId="71FAF3E4" w14:textId="77777777" w:rsidR="00651685" w:rsidRPr="00D0646D" w:rsidRDefault="00651685" w:rsidP="00FC470B">
            <w:pPr>
              <w:rPr>
                <w:rFonts w:cs="Arial"/>
                <w:color w:val="000000"/>
                <w:sz w:val="18"/>
                <w:szCs w:val="20"/>
              </w:rPr>
            </w:pPr>
            <w:r w:rsidRPr="000220F0">
              <w:rPr>
                <w:sz w:val="18"/>
                <w:szCs w:val="18"/>
              </w:rPr>
              <w:t>Technical Lead</w:t>
            </w:r>
          </w:p>
        </w:tc>
        <w:tc>
          <w:tcPr>
            <w:tcW w:w="1440" w:type="dxa"/>
            <w:vAlign w:val="bottom"/>
          </w:tcPr>
          <w:p w14:paraId="436B67D7"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68C7853F" w14:textId="77777777" w:rsidTr="00FC470B">
        <w:tc>
          <w:tcPr>
            <w:tcW w:w="2808" w:type="dxa"/>
          </w:tcPr>
          <w:p w14:paraId="3EF39BE5" w14:textId="77777777" w:rsidR="00651685" w:rsidRPr="00D0646D" w:rsidRDefault="00651685" w:rsidP="00FC470B">
            <w:pPr>
              <w:rPr>
                <w:rFonts w:cs="Arial"/>
                <w:color w:val="000000"/>
                <w:sz w:val="18"/>
                <w:szCs w:val="20"/>
              </w:rPr>
            </w:pPr>
            <w:r w:rsidRPr="000220F0">
              <w:rPr>
                <w:sz w:val="18"/>
                <w:szCs w:val="18"/>
              </w:rPr>
              <w:t>Test Lead</w:t>
            </w:r>
          </w:p>
        </w:tc>
        <w:tc>
          <w:tcPr>
            <w:tcW w:w="1440" w:type="dxa"/>
            <w:vAlign w:val="bottom"/>
          </w:tcPr>
          <w:p w14:paraId="22B08413"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70B1E2AC" w14:textId="77777777" w:rsidTr="00FC470B">
        <w:tc>
          <w:tcPr>
            <w:tcW w:w="2808" w:type="dxa"/>
          </w:tcPr>
          <w:p w14:paraId="494FB281" w14:textId="77777777" w:rsidR="00651685" w:rsidRPr="00D0646D" w:rsidRDefault="00651685" w:rsidP="00FC470B">
            <w:pPr>
              <w:rPr>
                <w:rFonts w:cs="Arial"/>
                <w:color w:val="000000"/>
                <w:sz w:val="18"/>
                <w:szCs w:val="20"/>
              </w:rPr>
            </w:pPr>
            <w:r w:rsidRPr="000220F0">
              <w:rPr>
                <w:sz w:val="18"/>
                <w:szCs w:val="18"/>
              </w:rPr>
              <w:t>Data Conversion Lead</w:t>
            </w:r>
          </w:p>
        </w:tc>
        <w:tc>
          <w:tcPr>
            <w:tcW w:w="1440" w:type="dxa"/>
            <w:vAlign w:val="bottom"/>
          </w:tcPr>
          <w:p w14:paraId="117FD8EE"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3E472BD5" w14:textId="77777777" w:rsidTr="00FC470B">
        <w:tc>
          <w:tcPr>
            <w:tcW w:w="2808" w:type="dxa"/>
          </w:tcPr>
          <w:p w14:paraId="7351D3DF" w14:textId="77777777" w:rsidR="00651685" w:rsidRPr="00D0646D" w:rsidRDefault="00651685" w:rsidP="00FC470B">
            <w:pPr>
              <w:rPr>
                <w:rFonts w:cs="Arial"/>
                <w:color w:val="000000"/>
                <w:sz w:val="18"/>
                <w:szCs w:val="20"/>
              </w:rPr>
            </w:pPr>
            <w:r w:rsidRPr="000220F0">
              <w:rPr>
                <w:sz w:val="18"/>
                <w:szCs w:val="18"/>
              </w:rPr>
              <w:t>Training Lead</w:t>
            </w:r>
          </w:p>
        </w:tc>
        <w:tc>
          <w:tcPr>
            <w:tcW w:w="1440" w:type="dxa"/>
            <w:vAlign w:val="bottom"/>
          </w:tcPr>
          <w:p w14:paraId="253A07BA"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4FC7D725" w14:textId="77777777" w:rsidTr="00FC470B">
        <w:tc>
          <w:tcPr>
            <w:tcW w:w="2808" w:type="dxa"/>
          </w:tcPr>
          <w:p w14:paraId="4B696C3C" w14:textId="77777777" w:rsidR="00651685" w:rsidRPr="00D0646D" w:rsidRDefault="00651685" w:rsidP="00FC470B">
            <w:pPr>
              <w:rPr>
                <w:rFonts w:cs="Arial"/>
                <w:color w:val="000000"/>
                <w:sz w:val="18"/>
                <w:szCs w:val="20"/>
              </w:rPr>
            </w:pPr>
            <w:r w:rsidRPr="000220F0">
              <w:rPr>
                <w:sz w:val="18"/>
                <w:szCs w:val="18"/>
              </w:rPr>
              <w:t>Subject Matter Expert</w:t>
            </w:r>
          </w:p>
        </w:tc>
        <w:tc>
          <w:tcPr>
            <w:tcW w:w="1440" w:type="dxa"/>
            <w:vAlign w:val="bottom"/>
          </w:tcPr>
          <w:p w14:paraId="266A1C2E" w14:textId="77777777" w:rsidR="00651685" w:rsidRPr="00D0646D" w:rsidRDefault="00651685" w:rsidP="00FC470B">
            <w:pPr>
              <w:jc w:val="center"/>
              <w:rPr>
                <w:rFonts w:cs="Arial"/>
                <w:color w:val="000000"/>
                <w:sz w:val="18"/>
                <w:szCs w:val="20"/>
              </w:rPr>
            </w:pPr>
            <w:r>
              <w:rPr>
                <w:rFonts w:cs="Arial"/>
                <w:color w:val="000000"/>
                <w:sz w:val="18"/>
                <w:szCs w:val="20"/>
              </w:rPr>
              <w:t>$175</w:t>
            </w:r>
          </w:p>
        </w:tc>
      </w:tr>
      <w:tr w:rsidR="00651685" w:rsidRPr="00D0646D" w14:paraId="2C54D3D7" w14:textId="77777777" w:rsidTr="00FC470B">
        <w:tc>
          <w:tcPr>
            <w:tcW w:w="2808" w:type="dxa"/>
          </w:tcPr>
          <w:p w14:paraId="40957664" w14:textId="77777777" w:rsidR="00651685" w:rsidRPr="00D0646D" w:rsidRDefault="00651685" w:rsidP="00FC470B">
            <w:pPr>
              <w:rPr>
                <w:rFonts w:cs="Arial"/>
                <w:color w:val="000000"/>
                <w:sz w:val="18"/>
                <w:szCs w:val="20"/>
              </w:rPr>
            </w:pPr>
            <w:r w:rsidRPr="000220F0">
              <w:rPr>
                <w:sz w:val="18"/>
                <w:szCs w:val="18"/>
              </w:rPr>
              <w:t>Programmer / Analyst</w:t>
            </w:r>
          </w:p>
        </w:tc>
        <w:tc>
          <w:tcPr>
            <w:tcW w:w="1440" w:type="dxa"/>
            <w:vAlign w:val="bottom"/>
          </w:tcPr>
          <w:p w14:paraId="40EBACE6" w14:textId="77777777" w:rsidR="00651685" w:rsidRPr="00D0646D" w:rsidRDefault="00651685" w:rsidP="00FC470B">
            <w:pPr>
              <w:jc w:val="center"/>
              <w:rPr>
                <w:rFonts w:cs="Arial"/>
                <w:color w:val="000000"/>
                <w:sz w:val="18"/>
                <w:szCs w:val="20"/>
              </w:rPr>
            </w:pPr>
            <w:r>
              <w:rPr>
                <w:rFonts w:cs="Arial"/>
                <w:color w:val="000000"/>
                <w:sz w:val="18"/>
                <w:szCs w:val="20"/>
              </w:rPr>
              <w:t>$175</w:t>
            </w:r>
          </w:p>
        </w:tc>
      </w:tr>
    </w:tbl>
    <w:p w14:paraId="4D4FA23E" w14:textId="77777777" w:rsidR="00651685" w:rsidRDefault="00651685" w:rsidP="00651685">
      <w:pPr>
        <w:pStyle w:val="BodyText"/>
      </w:pPr>
    </w:p>
    <w:p w14:paraId="2D262622" w14:textId="428F93B5" w:rsidR="00651685" w:rsidRDefault="002C0E13" w:rsidP="00544F45">
      <w:pPr>
        <w:pStyle w:val="Heading1"/>
      </w:pPr>
      <w:bookmarkStart w:id="85" w:name="_Toc377313568"/>
      <w:r>
        <w:t>Appendix B – Cost Benefit Analysis</w:t>
      </w:r>
      <w:bookmarkEnd w:id="85"/>
    </w:p>
    <w:p w14:paraId="1719599D" w14:textId="25283BD2" w:rsidR="002C0E13" w:rsidRPr="002C0E13" w:rsidRDefault="002C0E13" w:rsidP="002C0E13">
      <w:pPr>
        <w:pStyle w:val="BodyText"/>
      </w:pPr>
      <w:r>
        <w:t xml:space="preserve">See attached file </w:t>
      </w:r>
      <w:r w:rsidRPr="002C0E13">
        <w:t>Cost Benefit Analysis - VT Integrated Tax System Independent Review - Mathtech REVISED DRAFT</w:t>
      </w:r>
      <w:r>
        <w:t>.</w:t>
      </w:r>
    </w:p>
    <w:sectPr w:rsidR="002C0E13" w:rsidRPr="002C0E13" w:rsidSect="0023580A">
      <w:headerReference w:type="default" r:id="rId16"/>
      <w:footerReference w:type="default" r:id="rId17"/>
      <w:pgSz w:w="12240" w:h="15840" w:code="1"/>
      <w:pgMar w:top="1440" w:right="1800" w:bottom="432" w:left="1627"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60D0C" w14:textId="77777777" w:rsidR="00591809" w:rsidRDefault="00591809">
      <w:r>
        <w:separator/>
      </w:r>
    </w:p>
  </w:endnote>
  <w:endnote w:type="continuationSeparator" w:id="0">
    <w:p w14:paraId="200EDD19" w14:textId="77777777" w:rsidR="00591809" w:rsidRDefault="0059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0E70" w14:textId="77777777" w:rsidR="002C0E13" w:rsidRDefault="002C0E13"/>
  <w:tbl>
    <w:tblPr>
      <w:tblW w:w="0" w:type="auto"/>
      <w:tblBorders>
        <w:top w:val="single" w:sz="12" w:space="0" w:color="000099"/>
      </w:tblBorders>
      <w:tblCellMar>
        <w:top w:w="72" w:type="dxa"/>
        <w:left w:w="115" w:type="dxa"/>
        <w:right w:w="115" w:type="dxa"/>
      </w:tblCellMar>
      <w:tblLook w:val="01E0" w:firstRow="1" w:lastRow="1" w:firstColumn="1" w:lastColumn="1" w:noHBand="0" w:noVBand="0"/>
    </w:tblPr>
    <w:tblGrid>
      <w:gridCol w:w="7135"/>
      <w:gridCol w:w="1800"/>
    </w:tblGrid>
    <w:tr w:rsidR="002C0E13" w:rsidRPr="00A14529" w14:paraId="72F60E73" w14:textId="77777777">
      <w:tc>
        <w:tcPr>
          <w:tcW w:w="7135" w:type="dxa"/>
          <w:tcBorders>
            <w:top w:val="single" w:sz="12" w:space="0" w:color="000099"/>
          </w:tcBorders>
          <w:shd w:val="clear" w:color="auto" w:fill="auto"/>
        </w:tcPr>
        <w:p w14:paraId="72F60E71" w14:textId="3BC12102" w:rsidR="002C0E13" w:rsidRPr="004206F0" w:rsidRDefault="00135269" w:rsidP="00331F3E">
          <w:pPr>
            <w:pStyle w:val="Footer"/>
            <w:tabs>
              <w:tab w:val="clear" w:pos="4320"/>
              <w:tab w:val="clear" w:pos="8640"/>
            </w:tabs>
            <w:rPr>
              <w:rFonts w:ascii="Arial Narrow" w:hAnsi="Arial Narrow"/>
              <w:sz w:val="20"/>
              <w:szCs w:val="20"/>
            </w:rPr>
          </w:pPr>
          <w:r>
            <w:rPr>
              <w:rFonts w:ascii="Arial Narrow" w:hAnsi="Arial Narrow"/>
              <w:i/>
              <w:sz w:val="20"/>
              <w:szCs w:val="20"/>
            </w:rPr>
            <w:t>FINAL</w:t>
          </w:r>
          <w:r w:rsidR="002C0E13" w:rsidRPr="004206F0">
            <w:rPr>
              <w:rFonts w:ascii="Arial Narrow" w:hAnsi="Arial Narrow"/>
              <w:i/>
              <w:sz w:val="20"/>
              <w:szCs w:val="20"/>
            </w:rPr>
            <w:br/>
          </w:r>
        </w:p>
      </w:tc>
      <w:tc>
        <w:tcPr>
          <w:tcW w:w="1800" w:type="dxa"/>
        </w:tcPr>
        <w:p w14:paraId="72F60E72" w14:textId="77777777" w:rsidR="002C0E13" w:rsidRPr="00A14529" w:rsidRDefault="002C0E13" w:rsidP="004206F0">
          <w:pPr>
            <w:pStyle w:val="Footer"/>
            <w:tabs>
              <w:tab w:val="clear" w:pos="4320"/>
              <w:tab w:val="clear" w:pos="8640"/>
            </w:tabs>
            <w:jc w:val="right"/>
            <w:rPr>
              <w:rFonts w:cs="Arial"/>
              <w:sz w:val="20"/>
              <w:szCs w:val="20"/>
            </w:rPr>
          </w:pPr>
          <w:r w:rsidRPr="00A14529">
            <w:rPr>
              <w:rFonts w:cs="Arial"/>
              <w:sz w:val="20"/>
              <w:szCs w:val="20"/>
            </w:rPr>
            <w:t xml:space="preserve">Page </w:t>
          </w:r>
          <w:r w:rsidRPr="00A14529">
            <w:rPr>
              <w:rFonts w:cs="Arial"/>
              <w:sz w:val="20"/>
              <w:szCs w:val="20"/>
            </w:rPr>
            <w:fldChar w:fldCharType="begin"/>
          </w:r>
          <w:r w:rsidRPr="00A14529">
            <w:rPr>
              <w:rFonts w:cs="Arial"/>
              <w:sz w:val="20"/>
              <w:szCs w:val="20"/>
            </w:rPr>
            <w:instrText xml:space="preserve"> PAGE </w:instrText>
          </w:r>
          <w:r w:rsidRPr="00A14529">
            <w:rPr>
              <w:rFonts w:cs="Arial"/>
              <w:sz w:val="20"/>
              <w:szCs w:val="20"/>
            </w:rPr>
            <w:fldChar w:fldCharType="separate"/>
          </w:r>
          <w:r w:rsidR="0012712A">
            <w:rPr>
              <w:rFonts w:cs="Arial"/>
              <w:noProof/>
              <w:sz w:val="20"/>
              <w:szCs w:val="20"/>
            </w:rPr>
            <w:t>2</w:t>
          </w:r>
          <w:r w:rsidRPr="00A14529">
            <w:rPr>
              <w:rFonts w:cs="Arial"/>
              <w:sz w:val="20"/>
              <w:szCs w:val="20"/>
            </w:rPr>
            <w:fldChar w:fldCharType="end"/>
          </w:r>
          <w:r w:rsidRPr="00A14529">
            <w:rPr>
              <w:rFonts w:cs="Arial"/>
              <w:sz w:val="20"/>
              <w:szCs w:val="20"/>
            </w:rPr>
            <w:t xml:space="preserve"> </w:t>
          </w:r>
        </w:p>
      </w:tc>
    </w:tr>
  </w:tbl>
  <w:p w14:paraId="72F60E74" w14:textId="77777777" w:rsidR="002C0E13" w:rsidRPr="00135529" w:rsidRDefault="002C0E13" w:rsidP="00135529">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E641E" w14:textId="77777777" w:rsidR="00591809" w:rsidRDefault="00591809">
      <w:r>
        <w:separator/>
      </w:r>
    </w:p>
  </w:footnote>
  <w:footnote w:type="continuationSeparator" w:id="0">
    <w:p w14:paraId="71B3AFE8" w14:textId="77777777" w:rsidR="00591809" w:rsidRDefault="0059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860"/>
      <w:gridCol w:w="2250"/>
    </w:tblGrid>
    <w:tr w:rsidR="002C0E13" w14:paraId="72F60E6A" w14:textId="77777777">
      <w:trPr>
        <w:trHeight w:hRule="exact" w:val="72"/>
      </w:trPr>
      <w:tc>
        <w:tcPr>
          <w:tcW w:w="1818" w:type="dxa"/>
          <w:tcBorders>
            <w:bottom w:val="single" w:sz="4" w:space="0" w:color="auto"/>
          </w:tcBorders>
          <w:shd w:val="clear" w:color="auto" w:fill="000099"/>
        </w:tcPr>
        <w:p w14:paraId="72F60E67" w14:textId="77777777" w:rsidR="002C0E13" w:rsidRDefault="002C0E13" w:rsidP="004206F0">
          <w:pPr>
            <w:jc w:val="center"/>
          </w:pPr>
        </w:p>
      </w:tc>
      <w:tc>
        <w:tcPr>
          <w:tcW w:w="4860" w:type="dxa"/>
          <w:tcBorders>
            <w:bottom w:val="single" w:sz="4" w:space="0" w:color="auto"/>
          </w:tcBorders>
          <w:shd w:val="clear" w:color="auto" w:fill="000099"/>
        </w:tcPr>
        <w:p w14:paraId="72F60E68" w14:textId="77777777" w:rsidR="002C0E13" w:rsidRDefault="002C0E13" w:rsidP="004206F0">
          <w:pPr>
            <w:jc w:val="center"/>
          </w:pPr>
        </w:p>
      </w:tc>
      <w:tc>
        <w:tcPr>
          <w:tcW w:w="2250" w:type="dxa"/>
          <w:vMerge w:val="restart"/>
          <w:vAlign w:val="center"/>
        </w:tcPr>
        <w:p w14:paraId="72F60E69" w14:textId="77777777" w:rsidR="002C0E13" w:rsidRDefault="002C0E13" w:rsidP="009D67C8">
          <w:pPr>
            <w:jc w:val="center"/>
          </w:pPr>
          <w:r>
            <w:rPr>
              <w:noProof/>
            </w:rPr>
            <w:drawing>
              <wp:inline distT="0" distB="0" distL="0" distR="0" wp14:anchorId="72F60E75" wp14:editId="72F60E76">
                <wp:extent cx="1246220" cy="224287"/>
                <wp:effectExtent l="0" t="0" r="0" b="4445"/>
                <wp:docPr id="1" name="Picture 1" descr="Math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tech"/>
                        <pic:cNvPicPr>
                          <a:picLocks noChangeAspect="1" noChangeArrowheads="1"/>
                        </pic:cNvPicPr>
                      </pic:nvPicPr>
                      <pic:blipFill>
                        <a:blip r:embed="rId1"/>
                        <a:srcRect/>
                        <a:stretch>
                          <a:fillRect/>
                        </a:stretch>
                      </pic:blipFill>
                      <pic:spPr bwMode="auto">
                        <a:xfrm>
                          <a:off x="0" y="0"/>
                          <a:ext cx="1261367" cy="227013"/>
                        </a:xfrm>
                        <a:prstGeom prst="rect">
                          <a:avLst/>
                        </a:prstGeom>
                        <a:noFill/>
                        <a:ln w="9525">
                          <a:noFill/>
                          <a:miter lim="800000"/>
                          <a:headEnd/>
                          <a:tailEnd/>
                        </a:ln>
                      </pic:spPr>
                    </pic:pic>
                  </a:graphicData>
                </a:graphic>
              </wp:inline>
            </w:drawing>
          </w:r>
        </w:p>
      </w:tc>
    </w:tr>
    <w:tr w:rsidR="002C0E13" w:rsidRPr="004206F0" w14:paraId="72F60E6D" w14:textId="77777777">
      <w:trPr>
        <w:trHeight w:val="422"/>
      </w:trPr>
      <w:tc>
        <w:tcPr>
          <w:tcW w:w="6678" w:type="dxa"/>
          <w:gridSpan w:val="2"/>
          <w:shd w:val="clear" w:color="auto" w:fill="CDCDFF"/>
          <w:vAlign w:val="center"/>
        </w:tcPr>
        <w:p w14:paraId="72F60E6B" w14:textId="77777777" w:rsidR="002C0E13" w:rsidRPr="00D54537" w:rsidRDefault="002C0E13" w:rsidP="00D54537">
          <w:pPr>
            <w:pStyle w:val="HeaderBold"/>
          </w:pPr>
          <w:r>
            <w:t>State of Vermont - Independent Review of an Integrated Tax System</w:t>
          </w:r>
        </w:p>
      </w:tc>
      <w:tc>
        <w:tcPr>
          <w:tcW w:w="2250" w:type="dxa"/>
          <w:vMerge/>
          <w:vAlign w:val="center"/>
        </w:tcPr>
        <w:p w14:paraId="72F60E6C" w14:textId="77777777" w:rsidR="002C0E13" w:rsidRPr="004206F0" w:rsidRDefault="002C0E13" w:rsidP="004206F0">
          <w:pPr>
            <w:jc w:val="center"/>
            <w:rPr>
              <w:rFonts w:cs="Arial"/>
            </w:rPr>
          </w:pPr>
        </w:p>
      </w:tc>
    </w:tr>
  </w:tbl>
  <w:p w14:paraId="72F60E6E" w14:textId="77777777" w:rsidR="002C0E13" w:rsidRDefault="002C0E13" w:rsidP="00CE1C9A">
    <w:pPr>
      <w:jc w:val="center"/>
    </w:pPr>
  </w:p>
  <w:p w14:paraId="72F60E6F" w14:textId="77777777" w:rsidR="002C0E13" w:rsidRDefault="002C0E13" w:rsidP="00CE1C9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9E201A"/>
    <w:lvl w:ilvl="0">
      <w:start w:val="1"/>
      <w:numFmt w:val="decimal"/>
      <w:lvlText w:val="%1."/>
      <w:lvlJc w:val="left"/>
      <w:pPr>
        <w:tabs>
          <w:tab w:val="num" w:pos="1800"/>
        </w:tabs>
        <w:ind w:left="1800" w:hanging="360"/>
      </w:pPr>
    </w:lvl>
  </w:abstractNum>
  <w:abstractNum w:abstractNumId="1">
    <w:nsid w:val="FFFFFF7D"/>
    <w:multiLevelType w:val="singleLevel"/>
    <w:tmpl w:val="C7F4663A"/>
    <w:lvl w:ilvl="0">
      <w:start w:val="1"/>
      <w:numFmt w:val="decimal"/>
      <w:lvlText w:val="%1."/>
      <w:lvlJc w:val="left"/>
      <w:pPr>
        <w:tabs>
          <w:tab w:val="num" w:pos="1440"/>
        </w:tabs>
        <w:ind w:left="1440" w:hanging="360"/>
      </w:pPr>
    </w:lvl>
  </w:abstractNum>
  <w:abstractNum w:abstractNumId="2">
    <w:nsid w:val="FFFFFF7E"/>
    <w:multiLevelType w:val="singleLevel"/>
    <w:tmpl w:val="2C9A605E"/>
    <w:lvl w:ilvl="0">
      <w:start w:val="1"/>
      <w:numFmt w:val="decimal"/>
      <w:lvlText w:val="%1."/>
      <w:lvlJc w:val="left"/>
      <w:pPr>
        <w:tabs>
          <w:tab w:val="num" w:pos="1080"/>
        </w:tabs>
        <w:ind w:left="1080" w:hanging="360"/>
      </w:pPr>
    </w:lvl>
  </w:abstractNum>
  <w:abstractNum w:abstractNumId="3">
    <w:nsid w:val="FFFFFF7F"/>
    <w:multiLevelType w:val="singleLevel"/>
    <w:tmpl w:val="A3BCE092"/>
    <w:lvl w:ilvl="0">
      <w:start w:val="1"/>
      <w:numFmt w:val="decimal"/>
      <w:lvlText w:val="%1."/>
      <w:lvlJc w:val="left"/>
      <w:pPr>
        <w:tabs>
          <w:tab w:val="num" w:pos="720"/>
        </w:tabs>
        <w:ind w:left="720" w:hanging="360"/>
      </w:pPr>
    </w:lvl>
  </w:abstractNum>
  <w:abstractNum w:abstractNumId="4">
    <w:nsid w:val="FFFFFF80"/>
    <w:multiLevelType w:val="singleLevel"/>
    <w:tmpl w:val="415007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A345F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36F1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DCE8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72BE3A"/>
    <w:lvl w:ilvl="0">
      <w:start w:val="1"/>
      <w:numFmt w:val="decimal"/>
      <w:lvlText w:val="%1."/>
      <w:lvlJc w:val="left"/>
      <w:pPr>
        <w:tabs>
          <w:tab w:val="num" w:pos="360"/>
        </w:tabs>
        <w:ind w:left="360" w:hanging="360"/>
      </w:pPr>
    </w:lvl>
  </w:abstractNum>
  <w:abstractNum w:abstractNumId="9">
    <w:nsid w:val="FFFFFF89"/>
    <w:multiLevelType w:val="singleLevel"/>
    <w:tmpl w:val="BEEE45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4"/>
    <w:multiLevelType w:val="singleLevel"/>
    <w:tmpl w:val="FE34B38C"/>
    <w:lvl w:ilvl="0">
      <w:start w:val="1"/>
      <w:numFmt w:val="bullet"/>
      <w:pStyle w:val="Listing"/>
      <w:lvlText w:val=""/>
      <w:lvlJc w:val="left"/>
      <w:pPr>
        <w:tabs>
          <w:tab w:val="num" w:pos="360"/>
        </w:tabs>
        <w:ind w:left="360" w:hanging="360"/>
      </w:pPr>
      <w:rPr>
        <w:rFonts w:ascii="Symbol" w:hAnsi="Symbol" w:hint="default"/>
      </w:rPr>
    </w:lvl>
  </w:abstractNum>
  <w:abstractNum w:abstractNumId="11">
    <w:nsid w:val="166C5D5A"/>
    <w:multiLevelType w:val="hybridMultilevel"/>
    <w:tmpl w:val="14DA3C16"/>
    <w:lvl w:ilvl="0" w:tplc="99FA9C40">
      <w:start w:val="1"/>
      <w:numFmt w:val="bullet"/>
      <w:pStyle w:val="ExperienceChecks"/>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5A5A86"/>
    <w:multiLevelType w:val="hybridMultilevel"/>
    <w:tmpl w:val="34C825E6"/>
    <w:lvl w:ilvl="0" w:tplc="CA8E57B6">
      <w:start w:val="1"/>
      <w:numFmt w:val="bullet"/>
      <w:pStyle w:val="TableBullet"/>
      <w:lvlText w:val="•"/>
      <w:lvlJc w:val="left"/>
      <w:pPr>
        <w:tabs>
          <w:tab w:val="num" w:pos="360"/>
        </w:tabs>
        <w:ind w:left="216" w:hanging="216"/>
      </w:pPr>
      <w:rPr>
        <w:rFonts w:ascii="Verdana" w:hAnsi="Verdana" w:cs="Times New Roman" w:hint="default"/>
        <w:b w:val="0"/>
        <w:i w:val="0"/>
        <w:color w:val="000000"/>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867F6A"/>
    <w:multiLevelType w:val="hybridMultilevel"/>
    <w:tmpl w:val="BC3A9CB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C15CC7"/>
    <w:multiLevelType w:val="hybridMultilevel"/>
    <w:tmpl w:val="0E9C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9374C"/>
    <w:multiLevelType w:val="multilevel"/>
    <w:tmpl w:val="79541FA4"/>
    <w:lvl w:ilvl="0">
      <w:start w:val="1"/>
      <w:numFmt w:val="decimal"/>
      <w:pStyle w:val="Heading1"/>
      <w:lvlText w:val="%1.0"/>
      <w:lvlJc w:val="left"/>
      <w:pPr>
        <w:ind w:left="0" w:hanging="792"/>
      </w:pPr>
      <w:rPr>
        <w:rFonts w:hint="default"/>
      </w:rPr>
    </w:lvl>
    <w:lvl w:ilvl="1">
      <w:start w:val="1"/>
      <w:numFmt w:val="decimal"/>
      <w:pStyle w:val="Heading2"/>
      <w:lvlText w:val="%1.%2"/>
      <w:lvlJc w:val="left"/>
      <w:pPr>
        <w:ind w:left="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List4"/>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41B80399"/>
    <w:multiLevelType w:val="multilevel"/>
    <w:tmpl w:val="FEE438EA"/>
    <w:styleLink w:val="CurrentList1"/>
    <w:lvl w:ilvl="0">
      <w:start w:val="1"/>
      <w:numFmt w:val="bullet"/>
      <w:lvlText w:val=""/>
      <w:lvlJc w:val="left"/>
      <w:pPr>
        <w:tabs>
          <w:tab w:val="num" w:pos="1440"/>
        </w:tabs>
        <w:ind w:left="1339" w:hanging="259"/>
      </w:pPr>
      <w:rPr>
        <w:rFonts w:ascii="Wingdings" w:hAnsi="Wingdings" w:hint="default"/>
        <w:color w:val="640A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327377"/>
    <w:multiLevelType w:val="hybridMultilevel"/>
    <w:tmpl w:val="EB9A35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37700"/>
    <w:multiLevelType w:val="hybridMultilevel"/>
    <w:tmpl w:val="6C2402DE"/>
    <w:lvl w:ilvl="0" w:tplc="04090011">
      <w:start w:val="1"/>
      <w:numFmt w:val="bullet"/>
      <w:pStyle w:val="Bullet1Check"/>
      <w:lvlText w:val=""/>
      <w:lvlJc w:val="left"/>
      <w:pPr>
        <w:tabs>
          <w:tab w:val="num" w:pos="360"/>
        </w:tabs>
        <w:ind w:left="360" w:hanging="360"/>
      </w:pPr>
      <w:rPr>
        <w:rFonts w:ascii="Wingdings" w:hAnsi="Wingdings" w:hint="default"/>
        <w:color w:val="000080"/>
        <w:sz w:val="20"/>
        <w:szCs w:val="20"/>
      </w:rPr>
    </w:lvl>
    <w:lvl w:ilvl="1" w:tplc="04090019">
      <w:start w:val="1"/>
      <w:numFmt w:val="decimal"/>
      <w:lvlText w:val="%2."/>
      <w:lvlJc w:val="left"/>
      <w:pPr>
        <w:tabs>
          <w:tab w:val="num" w:pos="1440"/>
        </w:tabs>
        <w:ind w:left="1440" w:hanging="720"/>
      </w:pPr>
      <w:rPr>
        <w:rFonts w:hint="default"/>
        <w:color w:val="000080"/>
        <w:sz w:val="20"/>
        <w:szCs w:val="20"/>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6EE516B3"/>
    <w:multiLevelType w:val="hybridMultilevel"/>
    <w:tmpl w:val="2976E81E"/>
    <w:lvl w:ilvl="0" w:tplc="93AA565E">
      <w:start w:val="1"/>
      <w:numFmt w:val="bullet"/>
      <w:pStyle w:val="StyleTableBullet10ptItalicBlue"/>
      <w:lvlText w:val="•"/>
      <w:lvlJc w:val="left"/>
      <w:pPr>
        <w:ind w:left="720" w:hanging="360"/>
      </w:pPr>
      <w:rPr>
        <w:rFonts w:ascii="Verdana" w:hAnsi="Verdana" w:cs="Times New Roman" w:hint="default"/>
        <w:b w:val="0"/>
        <w:i w:val="0"/>
        <w:color w:val="0000FF"/>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21FF6"/>
    <w:multiLevelType w:val="hybridMultilevel"/>
    <w:tmpl w:val="631EEB08"/>
    <w:lvl w:ilvl="0" w:tplc="FFFFFFFF">
      <w:start w:val="1"/>
      <w:numFmt w:val="bullet"/>
      <w:pStyle w:val="Bullet2"/>
      <w:lvlText w:val=""/>
      <w:lvlJc w:val="left"/>
      <w:pPr>
        <w:tabs>
          <w:tab w:val="num" w:pos="720"/>
        </w:tabs>
        <w:ind w:left="720" w:hanging="360"/>
      </w:pPr>
      <w:rPr>
        <w:rFonts w:ascii="Wingdings" w:hAnsi="Wingdings" w:hint="default"/>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1"/>
  </w:num>
  <w:num w:numId="4">
    <w:abstractNumId w:val="18"/>
  </w:num>
  <w:num w:numId="5">
    <w:abstractNumId w:val="16"/>
  </w:num>
  <w:num w:numId="6">
    <w:abstractNumId w:val="12"/>
  </w:num>
  <w:num w:numId="7">
    <w:abstractNumId w:val="15"/>
  </w:num>
  <w:num w:numId="8">
    <w:abstractNumId w:val="13"/>
  </w:num>
  <w:num w:numId="9">
    <w:abstractNumId w:val="14"/>
  </w:num>
  <w:num w:numId="10">
    <w:abstractNumId w:val="19"/>
  </w:num>
  <w:num w:numId="11">
    <w:abstractNumId w:val="17"/>
  </w:num>
  <w:num w:numId="12">
    <w:abstractNumId w:val="12"/>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BE"/>
    <w:rsid w:val="000003A9"/>
    <w:rsid w:val="000025E7"/>
    <w:rsid w:val="0000273E"/>
    <w:rsid w:val="00002E05"/>
    <w:rsid w:val="00002F95"/>
    <w:rsid w:val="0000444E"/>
    <w:rsid w:val="000059E2"/>
    <w:rsid w:val="000063B7"/>
    <w:rsid w:val="00006BC5"/>
    <w:rsid w:val="00007972"/>
    <w:rsid w:val="00010C1B"/>
    <w:rsid w:val="00011806"/>
    <w:rsid w:val="00012CDE"/>
    <w:rsid w:val="00013E7D"/>
    <w:rsid w:val="00014198"/>
    <w:rsid w:val="00014886"/>
    <w:rsid w:val="000148AC"/>
    <w:rsid w:val="0001580D"/>
    <w:rsid w:val="00015A57"/>
    <w:rsid w:val="00016846"/>
    <w:rsid w:val="00016D19"/>
    <w:rsid w:val="00017196"/>
    <w:rsid w:val="00017445"/>
    <w:rsid w:val="00017585"/>
    <w:rsid w:val="00017916"/>
    <w:rsid w:val="00017E6B"/>
    <w:rsid w:val="0002030B"/>
    <w:rsid w:val="00020EBC"/>
    <w:rsid w:val="0002144A"/>
    <w:rsid w:val="000217E6"/>
    <w:rsid w:val="00021FD5"/>
    <w:rsid w:val="000220F0"/>
    <w:rsid w:val="00022B3D"/>
    <w:rsid w:val="00023E1C"/>
    <w:rsid w:val="00024190"/>
    <w:rsid w:val="000258EF"/>
    <w:rsid w:val="000261D9"/>
    <w:rsid w:val="00026599"/>
    <w:rsid w:val="00026643"/>
    <w:rsid w:val="000305CC"/>
    <w:rsid w:val="00030872"/>
    <w:rsid w:val="00031122"/>
    <w:rsid w:val="000316CA"/>
    <w:rsid w:val="00032624"/>
    <w:rsid w:val="000330DB"/>
    <w:rsid w:val="00033C46"/>
    <w:rsid w:val="00033DC8"/>
    <w:rsid w:val="00033F90"/>
    <w:rsid w:val="00034485"/>
    <w:rsid w:val="00034B7D"/>
    <w:rsid w:val="0003509A"/>
    <w:rsid w:val="0003576D"/>
    <w:rsid w:val="00036CB7"/>
    <w:rsid w:val="00036FDE"/>
    <w:rsid w:val="000413E3"/>
    <w:rsid w:val="0004142D"/>
    <w:rsid w:val="00041A2A"/>
    <w:rsid w:val="00041BCD"/>
    <w:rsid w:val="00042208"/>
    <w:rsid w:val="00042A6E"/>
    <w:rsid w:val="00042E2A"/>
    <w:rsid w:val="00042F50"/>
    <w:rsid w:val="00042FED"/>
    <w:rsid w:val="00043989"/>
    <w:rsid w:val="00044AD5"/>
    <w:rsid w:val="00044AEB"/>
    <w:rsid w:val="00045442"/>
    <w:rsid w:val="000460C5"/>
    <w:rsid w:val="00046CAE"/>
    <w:rsid w:val="00046CCC"/>
    <w:rsid w:val="00046D5A"/>
    <w:rsid w:val="00046D77"/>
    <w:rsid w:val="00047CB3"/>
    <w:rsid w:val="0005098B"/>
    <w:rsid w:val="00050B81"/>
    <w:rsid w:val="00050B8B"/>
    <w:rsid w:val="00050EFC"/>
    <w:rsid w:val="00051606"/>
    <w:rsid w:val="0005188F"/>
    <w:rsid w:val="0005336C"/>
    <w:rsid w:val="00054AD3"/>
    <w:rsid w:val="00054D7E"/>
    <w:rsid w:val="000553FA"/>
    <w:rsid w:val="00055AA3"/>
    <w:rsid w:val="00055D42"/>
    <w:rsid w:val="00055ED5"/>
    <w:rsid w:val="00055FB9"/>
    <w:rsid w:val="000568B9"/>
    <w:rsid w:val="00056909"/>
    <w:rsid w:val="00056D06"/>
    <w:rsid w:val="00060D6F"/>
    <w:rsid w:val="00060EF0"/>
    <w:rsid w:val="00062383"/>
    <w:rsid w:val="000626AB"/>
    <w:rsid w:val="00062D97"/>
    <w:rsid w:val="00063702"/>
    <w:rsid w:val="00063B8A"/>
    <w:rsid w:val="00063CFA"/>
    <w:rsid w:val="00064535"/>
    <w:rsid w:val="000646C1"/>
    <w:rsid w:val="00064A29"/>
    <w:rsid w:val="00064B58"/>
    <w:rsid w:val="00065EA4"/>
    <w:rsid w:val="00065F3F"/>
    <w:rsid w:val="0006603E"/>
    <w:rsid w:val="00066B30"/>
    <w:rsid w:val="000670DF"/>
    <w:rsid w:val="0006774F"/>
    <w:rsid w:val="000704FA"/>
    <w:rsid w:val="00071AC8"/>
    <w:rsid w:val="0007206E"/>
    <w:rsid w:val="00072800"/>
    <w:rsid w:val="0007285B"/>
    <w:rsid w:val="00072FBC"/>
    <w:rsid w:val="00073036"/>
    <w:rsid w:val="00074F54"/>
    <w:rsid w:val="00075472"/>
    <w:rsid w:val="000754ED"/>
    <w:rsid w:val="00075E3C"/>
    <w:rsid w:val="00075E80"/>
    <w:rsid w:val="00075F66"/>
    <w:rsid w:val="00076597"/>
    <w:rsid w:val="00076BDD"/>
    <w:rsid w:val="000774FD"/>
    <w:rsid w:val="000802E9"/>
    <w:rsid w:val="00080398"/>
    <w:rsid w:val="00081EB2"/>
    <w:rsid w:val="000848A5"/>
    <w:rsid w:val="00084E5C"/>
    <w:rsid w:val="000850D0"/>
    <w:rsid w:val="00087032"/>
    <w:rsid w:val="0008703B"/>
    <w:rsid w:val="00087AF0"/>
    <w:rsid w:val="00090154"/>
    <w:rsid w:val="00090248"/>
    <w:rsid w:val="000902B5"/>
    <w:rsid w:val="0009055A"/>
    <w:rsid w:val="000919FD"/>
    <w:rsid w:val="00091F8F"/>
    <w:rsid w:val="000922F6"/>
    <w:rsid w:val="00092A7A"/>
    <w:rsid w:val="00093024"/>
    <w:rsid w:val="00094258"/>
    <w:rsid w:val="00094DAE"/>
    <w:rsid w:val="000953D7"/>
    <w:rsid w:val="0009549E"/>
    <w:rsid w:val="000956DB"/>
    <w:rsid w:val="00095DD6"/>
    <w:rsid w:val="000961FB"/>
    <w:rsid w:val="0009714D"/>
    <w:rsid w:val="000A004C"/>
    <w:rsid w:val="000A032E"/>
    <w:rsid w:val="000A065B"/>
    <w:rsid w:val="000A18CE"/>
    <w:rsid w:val="000A1D75"/>
    <w:rsid w:val="000A280F"/>
    <w:rsid w:val="000A2E62"/>
    <w:rsid w:val="000A3419"/>
    <w:rsid w:val="000A4968"/>
    <w:rsid w:val="000A4E9D"/>
    <w:rsid w:val="000A5770"/>
    <w:rsid w:val="000A6564"/>
    <w:rsid w:val="000A66AA"/>
    <w:rsid w:val="000B01BF"/>
    <w:rsid w:val="000B02D5"/>
    <w:rsid w:val="000B1A3B"/>
    <w:rsid w:val="000B1E18"/>
    <w:rsid w:val="000B388E"/>
    <w:rsid w:val="000B414E"/>
    <w:rsid w:val="000B5895"/>
    <w:rsid w:val="000B7191"/>
    <w:rsid w:val="000B7278"/>
    <w:rsid w:val="000B75BC"/>
    <w:rsid w:val="000B77E5"/>
    <w:rsid w:val="000B7DED"/>
    <w:rsid w:val="000C1576"/>
    <w:rsid w:val="000C1B34"/>
    <w:rsid w:val="000C1DA2"/>
    <w:rsid w:val="000C331A"/>
    <w:rsid w:val="000C4047"/>
    <w:rsid w:val="000C415E"/>
    <w:rsid w:val="000C45F4"/>
    <w:rsid w:val="000C5001"/>
    <w:rsid w:val="000C6237"/>
    <w:rsid w:val="000C68D1"/>
    <w:rsid w:val="000C6E1E"/>
    <w:rsid w:val="000C799B"/>
    <w:rsid w:val="000C7CE6"/>
    <w:rsid w:val="000D0B2F"/>
    <w:rsid w:val="000D1778"/>
    <w:rsid w:val="000D1D29"/>
    <w:rsid w:val="000D5B77"/>
    <w:rsid w:val="000D7BD3"/>
    <w:rsid w:val="000E074E"/>
    <w:rsid w:val="000E1CF1"/>
    <w:rsid w:val="000E2616"/>
    <w:rsid w:val="000E2C49"/>
    <w:rsid w:val="000E3060"/>
    <w:rsid w:val="000E410F"/>
    <w:rsid w:val="000E4850"/>
    <w:rsid w:val="000E4D26"/>
    <w:rsid w:val="000E53B6"/>
    <w:rsid w:val="000E5B8B"/>
    <w:rsid w:val="000E7902"/>
    <w:rsid w:val="000F0020"/>
    <w:rsid w:val="000F086E"/>
    <w:rsid w:val="000F1F78"/>
    <w:rsid w:val="000F6053"/>
    <w:rsid w:val="000F6E8A"/>
    <w:rsid w:val="000F7E60"/>
    <w:rsid w:val="001002BD"/>
    <w:rsid w:val="001003EA"/>
    <w:rsid w:val="00100603"/>
    <w:rsid w:val="001008DC"/>
    <w:rsid w:val="0010166E"/>
    <w:rsid w:val="00101CB5"/>
    <w:rsid w:val="0010202C"/>
    <w:rsid w:val="001028B5"/>
    <w:rsid w:val="00102DD3"/>
    <w:rsid w:val="00105618"/>
    <w:rsid w:val="001057BB"/>
    <w:rsid w:val="00105F49"/>
    <w:rsid w:val="00105F5F"/>
    <w:rsid w:val="00110E64"/>
    <w:rsid w:val="00111CDB"/>
    <w:rsid w:val="00113B47"/>
    <w:rsid w:val="00114359"/>
    <w:rsid w:val="0011466A"/>
    <w:rsid w:val="00115051"/>
    <w:rsid w:val="001157A0"/>
    <w:rsid w:val="00116243"/>
    <w:rsid w:val="00116539"/>
    <w:rsid w:val="001170D5"/>
    <w:rsid w:val="001170F8"/>
    <w:rsid w:val="001171C8"/>
    <w:rsid w:val="00120C3C"/>
    <w:rsid w:val="001211EC"/>
    <w:rsid w:val="001215A0"/>
    <w:rsid w:val="0012206D"/>
    <w:rsid w:val="00122821"/>
    <w:rsid w:val="00122F9C"/>
    <w:rsid w:val="00124C35"/>
    <w:rsid w:val="00124D6E"/>
    <w:rsid w:val="00124EB2"/>
    <w:rsid w:val="00125635"/>
    <w:rsid w:val="0012594F"/>
    <w:rsid w:val="00126BC2"/>
    <w:rsid w:val="0012712A"/>
    <w:rsid w:val="00127488"/>
    <w:rsid w:val="00130063"/>
    <w:rsid w:val="00130546"/>
    <w:rsid w:val="0013055D"/>
    <w:rsid w:val="00130748"/>
    <w:rsid w:val="00130CBB"/>
    <w:rsid w:val="00130F25"/>
    <w:rsid w:val="0013106B"/>
    <w:rsid w:val="0013152A"/>
    <w:rsid w:val="001329A8"/>
    <w:rsid w:val="00132A87"/>
    <w:rsid w:val="00132C8F"/>
    <w:rsid w:val="0013365C"/>
    <w:rsid w:val="001344A1"/>
    <w:rsid w:val="0013453D"/>
    <w:rsid w:val="00135269"/>
    <w:rsid w:val="0013547C"/>
    <w:rsid w:val="00135529"/>
    <w:rsid w:val="00135A52"/>
    <w:rsid w:val="001415A0"/>
    <w:rsid w:val="00142D07"/>
    <w:rsid w:val="00143080"/>
    <w:rsid w:val="001448DA"/>
    <w:rsid w:val="0014514D"/>
    <w:rsid w:val="00145278"/>
    <w:rsid w:val="001469CE"/>
    <w:rsid w:val="00146F1D"/>
    <w:rsid w:val="00150F0F"/>
    <w:rsid w:val="0015129A"/>
    <w:rsid w:val="001527E9"/>
    <w:rsid w:val="00152862"/>
    <w:rsid w:val="001549C2"/>
    <w:rsid w:val="0015595E"/>
    <w:rsid w:val="0015667E"/>
    <w:rsid w:val="00156984"/>
    <w:rsid w:val="00156C47"/>
    <w:rsid w:val="0015704E"/>
    <w:rsid w:val="0015741C"/>
    <w:rsid w:val="00157DD2"/>
    <w:rsid w:val="0016074F"/>
    <w:rsid w:val="00161374"/>
    <w:rsid w:val="00163820"/>
    <w:rsid w:val="00163E05"/>
    <w:rsid w:val="001640BA"/>
    <w:rsid w:val="001641DD"/>
    <w:rsid w:val="00165E76"/>
    <w:rsid w:val="001668BE"/>
    <w:rsid w:val="001670D0"/>
    <w:rsid w:val="0016782F"/>
    <w:rsid w:val="00170FCE"/>
    <w:rsid w:val="001714D8"/>
    <w:rsid w:val="00172088"/>
    <w:rsid w:val="00172BCF"/>
    <w:rsid w:val="00172CD5"/>
    <w:rsid w:val="001730E9"/>
    <w:rsid w:val="001731C0"/>
    <w:rsid w:val="00173400"/>
    <w:rsid w:val="00173517"/>
    <w:rsid w:val="00173594"/>
    <w:rsid w:val="001737D7"/>
    <w:rsid w:val="00173F22"/>
    <w:rsid w:val="00175E07"/>
    <w:rsid w:val="0017614C"/>
    <w:rsid w:val="001765B2"/>
    <w:rsid w:val="00176CF8"/>
    <w:rsid w:val="00177580"/>
    <w:rsid w:val="00177669"/>
    <w:rsid w:val="00177789"/>
    <w:rsid w:val="00180573"/>
    <w:rsid w:val="00180F96"/>
    <w:rsid w:val="00181C47"/>
    <w:rsid w:val="001825EF"/>
    <w:rsid w:val="00182FFA"/>
    <w:rsid w:val="0018361B"/>
    <w:rsid w:val="00183EDA"/>
    <w:rsid w:val="00185EB0"/>
    <w:rsid w:val="00187014"/>
    <w:rsid w:val="00192910"/>
    <w:rsid w:val="00192AD4"/>
    <w:rsid w:val="00193074"/>
    <w:rsid w:val="00193205"/>
    <w:rsid w:val="00193B9E"/>
    <w:rsid w:val="00193D68"/>
    <w:rsid w:val="00195350"/>
    <w:rsid w:val="00195882"/>
    <w:rsid w:val="00195BA9"/>
    <w:rsid w:val="00195C0A"/>
    <w:rsid w:val="0019652D"/>
    <w:rsid w:val="00196592"/>
    <w:rsid w:val="00196B23"/>
    <w:rsid w:val="00196E60"/>
    <w:rsid w:val="0019708A"/>
    <w:rsid w:val="00197486"/>
    <w:rsid w:val="00197AA8"/>
    <w:rsid w:val="00197CFE"/>
    <w:rsid w:val="001A0845"/>
    <w:rsid w:val="001A1D40"/>
    <w:rsid w:val="001A276D"/>
    <w:rsid w:val="001A370F"/>
    <w:rsid w:val="001A3C52"/>
    <w:rsid w:val="001A3E09"/>
    <w:rsid w:val="001A3EA3"/>
    <w:rsid w:val="001A3ECB"/>
    <w:rsid w:val="001A4433"/>
    <w:rsid w:val="001A4AC6"/>
    <w:rsid w:val="001A5ECE"/>
    <w:rsid w:val="001A627E"/>
    <w:rsid w:val="001A64A8"/>
    <w:rsid w:val="001A664A"/>
    <w:rsid w:val="001B03FD"/>
    <w:rsid w:val="001B11E9"/>
    <w:rsid w:val="001B1E29"/>
    <w:rsid w:val="001B27AF"/>
    <w:rsid w:val="001B372A"/>
    <w:rsid w:val="001B375E"/>
    <w:rsid w:val="001B3791"/>
    <w:rsid w:val="001B3C30"/>
    <w:rsid w:val="001B431F"/>
    <w:rsid w:val="001B52EF"/>
    <w:rsid w:val="001B5385"/>
    <w:rsid w:val="001B6597"/>
    <w:rsid w:val="001B6758"/>
    <w:rsid w:val="001B6775"/>
    <w:rsid w:val="001B690F"/>
    <w:rsid w:val="001B6965"/>
    <w:rsid w:val="001B6A3A"/>
    <w:rsid w:val="001B6A66"/>
    <w:rsid w:val="001B7388"/>
    <w:rsid w:val="001B7851"/>
    <w:rsid w:val="001B7B8C"/>
    <w:rsid w:val="001B7C15"/>
    <w:rsid w:val="001B7C3C"/>
    <w:rsid w:val="001B7E19"/>
    <w:rsid w:val="001C1C3D"/>
    <w:rsid w:val="001C2103"/>
    <w:rsid w:val="001C21CB"/>
    <w:rsid w:val="001C2547"/>
    <w:rsid w:val="001C276D"/>
    <w:rsid w:val="001C2B5D"/>
    <w:rsid w:val="001C2F93"/>
    <w:rsid w:val="001C3095"/>
    <w:rsid w:val="001C33C6"/>
    <w:rsid w:val="001C3825"/>
    <w:rsid w:val="001C3AB3"/>
    <w:rsid w:val="001C5287"/>
    <w:rsid w:val="001C5BF8"/>
    <w:rsid w:val="001C5F5E"/>
    <w:rsid w:val="001D0C3C"/>
    <w:rsid w:val="001D12B6"/>
    <w:rsid w:val="001D169F"/>
    <w:rsid w:val="001D1C8C"/>
    <w:rsid w:val="001D2E45"/>
    <w:rsid w:val="001D3710"/>
    <w:rsid w:val="001D3A15"/>
    <w:rsid w:val="001D71CA"/>
    <w:rsid w:val="001D72B8"/>
    <w:rsid w:val="001E1289"/>
    <w:rsid w:val="001E17FD"/>
    <w:rsid w:val="001E1F05"/>
    <w:rsid w:val="001E20F6"/>
    <w:rsid w:val="001E3293"/>
    <w:rsid w:val="001E3B8C"/>
    <w:rsid w:val="001E49E5"/>
    <w:rsid w:val="001E4A89"/>
    <w:rsid w:val="001E538A"/>
    <w:rsid w:val="001E7467"/>
    <w:rsid w:val="001F0B1D"/>
    <w:rsid w:val="001F0F16"/>
    <w:rsid w:val="001F1262"/>
    <w:rsid w:val="001F1A10"/>
    <w:rsid w:val="001F1AB7"/>
    <w:rsid w:val="001F1DDF"/>
    <w:rsid w:val="001F1DEB"/>
    <w:rsid w:val="001F21E0"/>
    <w:rsid w:val="001F397F"/>
    <w:rsid w:val="001F3A02"/>
    <w:rsid w:val="001F3BE0"/>
    <w:rsid w:val="001F403D"/>
    <w:rsid w:val="001F4EB1"/>
    <w:rsid w:val="001F5308"/>
    <w:rsid w:val="001F54D8"/>
    <w:rsid w:val="001F5DB6"/>
    <w:rsid w:val="001F63B1"/>
    <w:rsid w:val="001F754D"/>
    <w:rsid w:val="00200697"/>
    <w:rsid w:val="00200D90"/>
    <w:rsid w:val="00200F6C"/>
    <w:rsid w:val="00201C36"/>
    <w:rsid w:val="00202A9E"/>
    <w:rsid w:val="00203E5D"/>
    <w:rsid w:val="0020419B"/>
    <w:rsid w:val="00204E2F"/>
    <w:rsid w:val="00204EDE"/>
    <w:rsid w:val="00205F28"/>
    <w:rsid w:val="0020773C"/>
    <w:rsid w:val="00207D21"/>
    <w:rsid w:val="002151AC"/>
    <w:rsid w:val="00215B46"/>
    <w:rsid w:val="00215BF2"/>
    <w:rsid w:val="00215CF7"/>
    <w:rsid w:val="00215D61"/>
    <w:rsid w:val="00215DAC"/>
    <w:rsid w:val="00215F46"/>
    <w:rsid w:val="0021664C"/>
    <w:rsid w:val="00216702"/>
    <w:rsid w:val="00216C29"/>
    <w:rsid w:val="002179F3"/>
    <w:rsid w:val="00217EAB"/>
    <w:rsid w:val="0022013F"/>
    <w:rsid w:val="002211EB"/>
    <w:rsid w:val="00221F9B"/>
    <w:rsid w:val="00222CAB"/>
    <w:rsid w:val="00224108"/>
    <w:rsid w:val="00224922"/>
    <w:rsid w:val="002265CC"/>
    <w:rsid w:val="002269BD"/>
    <w:rsid w:val="00226E93"/>
    <w:rsid w:val="00226FEC"/>
    <w:rsid w:val="002305CC"/>
    <w:rsid w:val="0023066B"/>
    <w:rsid w:val="00230E70"/>
    <w:rsid w:val="002339EB"/>
    <w:rsid w:val="00235361"/>
    <w:rsid w:val="0023572C"/>
    <w:rsid w:val="0023580A"/>
    <w:rsid w:val="00236665"/>
    <w:rsid w:val="00236CA9"/>
    <w:rsid w:val="00236FDC"/>
    <w:rsid w:val="00240152"/>
    <w:rsid w:val="00240761"/>
    <w:rsid w:val="00240B5A"/>
    <w:rsid w:val="0024136E"/>
    <w:rsid w:val="00241F52"/>
    <w:rsid w:val="00242208"/>
    <w:rsid w:val="002426FD"/>
    <w:rsid w:val="0024273B"/>
    <w:rsid w:val="0024338D"/>
    <w:rsid w:val="002437A5"/>
    <w:rsid w:val="002437DD"/>
    <w:rsid w:val="00243830"/>
    <w:rsid w:val="002440FC"/>
    <w:rsid w:val="002443B7"/>
    <w:rsid w:val="002449AC"/>
    <w:rsid w:val="002451B0"/>
    <w:rsid w:val="0024582F"/>
    <w:rsid w:val="0024606B"/>
    <w:rsid w:val="00246201"/>
    <w:rsid w:val="002463FA"/>
    <w:rsid w:val="00246712"/>
    <w:rsid w:val="00246A94"/>
    <w:rsid w:val="00246EEF"/>
    <w:rsid w:val="00247773"/>
    <w:rsid w:val="00250B8B"/>
    <w:rsid w:val="002519BF"/>
    <w:rsid w:val="00251BA0"/>
    <w:rsid w:val="00253D38"/>
    <w:rsid w:val="00257612"/>
    <w:rsid w:val="00257B38"/>
    <w:rsid w:val="0026047E"/>
    <w:rsid w:val="0026149C"/>
    <w:rsid w:val="00261FD2"/>
    <w:rsid w:val="00262E57"/>
    <w:rsid w:val="00263BF7"/>
    <w:rsid w:val="00264078"/>
    <w:rsid w:val="00264B98"/>
    <w:rsid w:val="00265490"/>
    <w:rsid w:val="0026666A"/>
    <w:rsid w:val="002673B6"/>
    <w:rsid w:val="00267A1A"/>
    <w:rsid w:val="00267B8F"/>
    <w:rsid w:val="00267CE4"/>
    <w:rsid w:val="002709B6"/>
    <w:rsid w:val="00270D0B"/>
    <w:rsid w:val="00271CCE"/>
    <w:rsid w:val="00272A6D"/>
    <w:rsid w:val="00272B20"/>
    <w:rsid w:val="00273123"/>
    <w:rsid w:val="002731EF"/>
    <w:rsid w:val="00274571"/>
    <w:rsid w:val="00275B3B"/>
    <w:rsid w:val="00276986"/>
    <w:rsid w:val="00276EF4"/>
    <w:rsid w:val="0027706A"/>
    <w:rsid w:val="002773FE"/>
    <w:rsid w:val="00277F2C"/>
    <w:rsid w:val="002803D5"/>
    <w:rsid w:val="00281C1C"/>
    <w:rsid w:val="00281D91"/>
    <w:rsid w:val="00282CE5"/>
    <w:rsid w:val="00284409"/>
    <w:rsid w:val="002846EA"/>
    <w:rsid w:val="00285931"/>
    <w:rsid w:val="00285AB0"/>
    <w:rsid w:val="00285F00"/>
    <w:rsid w:val="00286792"/>
    <w:rsid w:val="00286C2D"/>
    <w:rsid w:val="002918D1"/>
    <w:rsid w:val="00291BE4"/>
    <w:rsid w:val="002920A0"/>
    <w:rsid w:val="00292915"/>
    <w:rsid w:val="00292B27"/>
    <w:rsid w:val="00293A48"/>
    <w:rsid w:val="00293B78"/>
    <w:rsid w:val="00294DEE"/>
    <w:rsid w:val="002958B8"/>
    <w:rsid w:val="00296176"/>
    <w:rsid w:val="00296A4A"/>
    <w:rsid w:val="00296B51"/>
    <w:rsid w:val="00296BB8"/>
    <w:rsid w:val="00296D8E"/>
    <w:rsid w:val="00296F17"/>
    <w:rsid w:val="00297190"/>
    <w:rsid w:val="002A10AF"/>
    <w:rsid w:val="002A132E"/>
    <w:rsid w:val="002A1FE5"/>
    <w:rsid w:val="002A2065"/>
    <w:rsid w:val="002A28D3"/>
    <w:rsid w:val="002A2A49"/>
    <w:rsid w:val="002A53AF"/>
    <w:rsid w:val="002A6BA0"/>
    <w:rsid w:val="002A765D"/>
    <w:rsid w:val="002A77DC"/>
    <w:rsid w:val="002B0E11"/>
    <w:rsid w:val="002B13FF"/>
    <w:rsid w:val="002B1C0A"/>
    <w:rsid w:val="002B22E0"/>
    <w:rsid w:val="002B2740"/>
    <w:rsid w:val="002B2B45"/>
    <w:rsid w:val="002B49DD"/>
    <w:rsid w:val="002B5CBE"/>
    <w:rsid w:val="002B7694"/>
    <w:rsid w:val="002B7D36"/>
    <w:rsid w:val="002C03A3"/>
    <w:rsid w:val="002C095A"/>
    <w:rsid w:val="002C0A83"/>
    <w:rsid w:val="002C0DC0"/>
    <w:rsid w:val="002C0E13"/>
    <w:rsid w:val="002C1818"/>
    <w:rsid w:val="002C1B3C"/>
    <w:rsid w:val="002C2227"/>
    <w:rsid w:val="002C26C0"/>
    <w:rsid w:val="002C388E"/>
    <w:rsid w:val="002C3FB9"/>
    <w:rsid w:val="002C4851"/>
    <w:rsid w:val="002C4F06"/>
    <w:rsid w:val="002C5526"/>
    <w:rsid w:val="002C5B54"/>
    <w:rsid w:val="002C6CDF"/>
    <w:rsid w:val="002C7256"/>
    <w:rsid w:val="002C7672"/>
    <w:rsid w:val="002D0696"/>
    <w:rsid w:val="002D06D5"/>
    <w:rsid w:val="002D0DB9"/>
    <w:rsid w:val="002D22B3"/>
    <w:rsid w:val="002D2A90"/>
    <w:rsid w:val="002D3722"/>
    <w:rsid w:val="002D38E3"/>
    <w:rsid w:val="002D3925"/>
    <w:rsid w:val="002D3DFD"/>
    <w:rsid w:val="002D669C"/>
    <w:rsid w:val="002D67DB"/>
    <w:rsid w:val="002D6C2F"/>
    <w:rsid w:val="002D779F"/>
    <w:rsid w:val="002E0796"/>
    <w:rsid w:val="002E08B1"/>
    <w:rsid w:val="002E1569"/>
    <w:rsid w:val="002E2320"/>
    <w:rsid w:val="002E3282"/>
    <w:rsid w:val="002E4EC1"/>
    <w:rsid w:val="002E4FAC"/>
    <w:rsid w:val="002E5150"/>
    <w:rsid w:val="002E52F8"/>
    <w:rsid w:val="002E6685"/>
    <w:rsid w:val="002E6EAE"/>
    <w:rsid w:val="002E75F7"/>
    <w:rsid w:val="002E792F"/>
    <w:rsid w:val="002E7D23"/>
    <w:rsid w:val="002F00B5"/>
    <w:rsid w:val="002F00D7"/>
    <w:rsid w:val="002F0F4F"/>
    <w:rsid w:val="002F14CB"/>
    <w:rsid w:val="002F1AE3"/>
    <w:rsid w:val="002F1CAE"/>
    <w:rsid w:val="002F3446"/>
    <w:rsid w:val="002F3B27"/>
    <w:rsid w:val="002F3CC4"/>
    <w:rsid w:val="002F3EE0"/>
    <w:rsid w:val="002F41B1"/>
    <w:rsid w:val="002F436D"/>
    <w:rsid w:val="002F447C"/>
    <w:rsid w:val="002F4A7C"/>
    <w:rsid w:val="002F4C33"/>
    <w:rsid w:val="002F517A"/>
    <w:rsid w:val="002F5256"/>
    <w:rsid w:val="002F5F73"/>
    <w:rsid w:val="002F667C"/>
    <w:rsid w:val="002F7851"/>
    <w:rsid w:val="002F7FAE"/>
    <w:rsid w:val="00300D0C"/>
    <w:rsid w:val="00300EAF"/>
    <w:rsid w:val="0030124C"/>
    <w:rsid w:val="0030134E"/>
    <w:rsid w:val="003013EB"/>
    <w:rsid w:val="00301BE6"/>
    <w:rsid w:val="0030337D"/>
    <w:rsid w:val="00304669"/>
    <w:rsid w:val="00304DE0"/>
    <w:rsid w:val="00305D6A"/>
    <w:rsid w:val="003079B4"/>
    <w:rsid w:val="00307E2D"/>
    <w:rsid w:val="00310E79"/>
    <w:rsid w:val="003113D6"/>
    <w:rsid w:val="00311CC3"/>
    <w:rsid w:val="003122BA"/>
    <w:rsid w:val="00312484"/>
    <w:rsid w:val="003128A0"/>
    <w:rsid w:val="003129A2"/>
    <w:rsid w:val="00314129"/>
    <w:rsid w:val="00314A7E"/>
    <w:rsid w:val="00314FC4"/>
    <w:rsid w:val="00314FEE"/>
    <w:rsid w:val="0031574E"/>
    <w:rsid w:val="00315A37"/>
    <w:rsid w:val="00315C9C"/>
    <w:rsid w:val="0031661F"/>
    <w:rsid w:val="00316AFF"/>
    <w:rsid w:val="0031711E"/>
    <w:rsid w:val="0031766D"/>
    <w:rsid w:val="00317940"/>
    <w:rsid w:val="00317E52"/>
    <w:rsid w:val="00320B0D"/>
    <w:rsid w:val="00320CF3"/>
    <w:rsid w:val="003212AD"/>
    <w:rsid w:val="003214B0"/>
    <w:rsid w:val="0032157B"/>
    <w:rsid w:val="003217F3"/>
    <w:rsid w:val="00321AC0"/>
    <w:rsid w:val="00321B3E"/>
    <w:rsid w:val="00321BB3"/>
    <w:rsid w:val="003224F9"/>
    <w:rsid w:val="00323962"/>
    <w:rsid w:val="00323A9E"/>
    <w:rsid w:val="00324E16"/>
    <w:rsid w:val="003254FB"/>
    <w:rsid w:val="00325664"/>
    <w:rsid w:val="00325EEE"/>
    <w:rsid w:val="003274F3"/>
    <w:rsid w:val="00327DB9"/>
    <w:rsid w:val="00330714"/>
    <w:rsid w:val="0033114E"/>
    <w:rsid w:val="003317F3"/>
    <w:rsid w:val="00331AC5"/>
    <w:rsid w:val="00331F3E"/>
    <w:rsid w:val="00333DCB"/>
    <w:rsid w:val="00333F11"/>
    <w:rsid w:val="003342D6"/>
    <w:rsid w:val="00334D36"/>
    <w:rsid w:val="00335577"/>
    <w:rsid w:val="0033590D"/>
    <w:rsid w:val="00335951"/>
    <w:rsid w:val="00336ADC"/>
    <w:rsid w:val="00336B93"/>
    <w:rsid w:val="003379FB"/>
    <w:rsid w:val="0034191C"/>
    <w:rsid w:val="00341CC5"/>
    <w:rsid w:val="003421CA"/>
    <w:rsid w:val="00343FD1"/>
    <w:rsid w:val="0034607A"/>
    <w:rsid w:val="00347052"/>
    <w:rsid w:val="00347FAB"/>
    <w:rsid w:val="00350435"/>
    <w:rsid w:val="00350D13"/>
    <w:rsid w:val="00350D35"/>
    <w:rsid w:val="0035129A"/>
    <w:rsid w:val="00352469"/>
    <w:rsid w:val="0035282D"/>
    <w:rsid w:val="00352ABB"/>
    <w:rsid w:val="0035468D"/>
    <w:rsid w:val="003558DE"/>
    <w:rsid w:val="00356D69"/>
    <w:rsid w:val="00356F8A"/>
    <w:rsid w:val="00362256"/>
    <w:rsid w:val="003622A5"/>
    <w:rsid w:val="0036283D"/>
    <w:rsid w:val="003628F1"/>
    <w:rsid w:val="00363753"/>
    <w:rsid w:val="00364896"/>
    <w:rsid w:val="003657D6"/>
    <w:rsid w:val="00365983"/>
    <w:rsid w:val="00365DC6"/>
    <w:rsid w:val="00365FC7"/>
    <w:rsid w:val="00366C8A"/>
    <w:rsid w:val="00367702"/>
    <w:rsid w:val="0037082A"/>
    <w:rsid w:val="00371485"/>
    <w:rsid w:val="00372E41"/>
    <w:rsid w:val="00373764"/>
    <w:rsid w:val="00373B7F"/>
    <w:rsid w:val="00373BBB"/>
    <w:rsid w:val="00374848"/>
    <w:rsid w:val="00375389"/>
    <w:rsid w:val="0037543B"/>
    <w:rsid w:val="00375B52"/>
    <w:rsid w:val="00375DAB"/>
    <w:rsid w:val="00375F59"/>
    <w:rsid w:val="0037679D"/>
    <w:rsid w:val="00377D27"/>
    <w:rsid w:val="00377E43"/>
    <w:rsid w:val="00380158"/>
    <w:rsid w:val="0038097B"/>
    <w:rsid w:val="00380CEB"/>
    <w:rsid w:val="00381359"/>
    <w:rsid w:val="00381DFF"/>
    <w:rsid w:val="003822BF"/>
    <w:rsid w:val="00382C78"/>
    <w:rsid w:val="00383839"/>
    <w:rsid w:val="003840AF"/>
    <w:rsid w:val="0038434A"/>
    <w:rsid w:val="00384DC9"/>
    <w:rsid w:val="003853CB"/>
    <w:rsid w:val="00385693"/>
    <w:rsid w:val="00385F1C"/>
    <w:rsid w:val="003862D1"/>
    <w:rsid w:val="00386984"/>
    <w:rsid w:val="0038733A"/>
    <w:rsid w:val="003875EB"/>
    <w:rsid w:val="00387977"/>
    <w:rsid w:val="00387CAF"/>
    <w:rsid w:val="0039152F"/>
    <w:rsid w:val="00391FAD"/>
    <w:rsid w:val="0039251C"/>
    <w:rsid w:val="00394C08"/>
    <w:rsid w:val="003954D9"/>
    <w:rsid w:val="00395C04"/>
    <w:rsid w:val="0039679A"/>
    <w:rsid w:val="00396E36"/>
    <w:rsid w:val="00396E67"/>
    <w:rsid w:val="00396FC0"/>
    <w:rsid w:val="00397297"/>
    <w:rsid w:val="00397642"/>
    <w:rsid w:val="003A0536"/>
    <w:rsid w:val="003A0BCD"/>
    <w:rsid w:val="003A11CA"/>
    <w:rsid w:val="003A120C"/>
    <w:rsid w:val="003A1FFD"/>
    <w:rsid w:val="003A242E"/>
    <w:rsid w:val="003A2586"/>
    <w:rsid w:val="003A2FB0"/>
    <w:rsid w:val="003A3BEE"/>
    <w:rsid w:val="003A48A2"/>
    <w:rsid w:val="003A4DAA"/>
    <w:rsid w:val="003A5D2C"/>
    <w:rsid w:val="003A5F3C"/>
    <w:rsid w:val="003A6359"/>
    <w:rsid w:val="003A6C28"/>
    <w:rsid w:val="003B03D8"/>
    <w:rsid w:val="003B14F7"/>
    <w:rsid w:val="003B296A"/>
    <w:rsid w:val="003B35EA"/>
    <w:rsid w:val="003B373F"/>
    <w:rsid w:val="003B3BFA"/>
    <w:rsid w:val="003B4083"/>
    <w:rsid w:val="003B4571"/>
    <w:rsid w:val="003B630C"/>
    <w:rsid w:val="003B64D8"/>
    <w:rsid w:val="003B7130"/>
    <w:rsid w:val="003B7DB1"/>
    <w:rsid w:val="003C1398"/>
    <w:rsid w:val="003C2643"/>
    <w:rsid w:val="003C2AFB"/>
    <w:rsid w:val="003C3BD5"/>
    <w:rsid w:val="003C45C4"/>
    <w:rsid w:val="003C4637"/>
    <w:rsid w:val="003C46B5"/>
    <w:rsid w:val="003C489B"/>
    <w:rsid w:val="003C6145"/>
    <w:rsid w:val="003C7096"/>
    <w:rsid w:val="003C74FD"/>
    <w:rsid w:val="003C7F86"/>
    <w:rsid w:val="003D03EF"/>
    <w:rsid w:val="003D213A"/>
    <w:rsid w:val="003D3096"/>
    <w:rsid w:val="003D35B7"/>
    <w:rsid w:val="003D36A1"/>
    <w:rsid w:val="003D37F4"/>
    <w:rsid w:val="003D39B8"/>
    <w:rsid w:val="003D5576"/>
    <w:rsid w:val="003D5F50"/>
    <w:rsid w:val="003D6066"/>
    <w:rsid w:val="003D6565"/>
    <w:rsid w:val="003D6A59"/>
    <w:rsid w:val="003D717B"/>
    <w:rsid w:val="003D7716"/>
    <w:rsid w:val="003D779C"/>
    <w:rsid w:val="003D78E4"/>
    <w:rsid w:val="003E0523"/>
    <w:rsid w:val="003E0848"/>
    <w:rsid w:val="003E08BD"/>
    <w:rsid w:val="003E161A"/>
    <w:rsid w:val="003E1F7C"/>
    <w:rsid w:val="003E33A9"/>
    <w:rsid w:val="003E3AFA"/>
    <w:rsid w:val="003E3B42"/>
    <w:rsid w:val="003E4C92"/>
    <w:rsid w:val="003E4DEA"/>
    <w:rsid w:val="003E5730"/>
    <w:rsid w:val="003E590E"/>
    <w:rsid w:val="003E60AB"/>
    <w:rsid w:val="003E7505"/>
    <w:rsid w:val="003F054C"/>
    <w:rsid w:val="003F0CB3"/>
    <w:rsid w:val="003F1250"/>
    <w:rsid w:val="003F1CE6"/>
    <w:rsid w:val="003F23CF"/>
    <w:rsid w:val="003F23EA"/>
    <w:rsid w:val="003F270E"/>
    <w:rsid w:val="003F3A06"/>
    <w:rsid w:val="003F3D68"/>
    <w:rsid w:val="003F4BA1"/>
    <w:rsid w:val="003F4C81"/>
    <w:rsid w:val="003F4E96"/>
    <w:rsid w:val="003F6377"/>
    <w:rsid w:val="003F72C6"/>
    <w:rsid w:val="003F7784"/>
    <w:rsid w:val="004006A7"/>
    <w:rsid w:val="00400B56"/>
    <w:rsid w:val="0040194D"/>
    <w:rsid w:val="0040307E"/>
    <w:rsid w:val="0040329E"/>
    <w:rsid w:val="00403842"/>
    <w:rsid w:val="004040E5"/>
    <w:rsid w:val="00404E5A"/>
    <w:rsid w:val="0040500C"/>
    <w:rsid w:val="0040523E"/>
    <w:rsid w:val="004057A8"/>
    <w:rsid w:val="0040608D"/>
    <w:rsid w:val="00410382"/>
    <w:rsid w:val="00410758"/>
    <w:rsid w:val="004107DC"/>
    <w:rsid w:val="00411328"/>
    <w:rsid w:val="00411F15"/>
    <w:rsid w:val="0041210E"/>
    <w:rsid w:val="00412621"/>
    <w:rsid w:val="00412DF1"/>
    <w:rsid w:val="00413135"/>
    <w:rsid w:val="00413607"/>
    <w:rsid w:val="00413F51"/>
    <w:rsid w:val="0041404F"/>
    <w:rsid w:val="00416064"/>
    <w:rsid w:val="00416ECE"/>
    <w:rsid w:val="004170EC"/>
    <w:rsid w:val="00417C93"/>
    <w:rsid w:val="004205DF"/>
    <w:rsid w:val="004206F0"/>
    <w:rsid w:val="00420BE4"/>
    <w:rsid w:val="00421026"/>
    <w:rsid w:val="00423861"/>
    <w:rsid w:val="004249A1"/>
    <w:rsid w:val="00425DAB"/>
    <w:rsid w:val="00426A7E"/>
    <w:rsid w:val="00427146"/>
    <w:rsid w:val="00427A24"/>
    <w:rsid w:val="00431B8E"/>
    <w:rsid w:val="00431CBF"/>
    <w:rsid w:val="004326D2"/>
    <w:rsid w:val="00432D76"/>
    <w:rsid w:val="00434135"/>
    <w:rsid w:val="00434323"/>
    <w:rsid w:val="00434B74"/>
    <w:rsid w:val="00436374"/>
    <w:rsid w:val="00436A69"/>
    <w:rsid w:val="0043706E"/>
    <w:rsid w:val="00437547"/>
    <w:rsid w:val="004409E7"/>
    <w:rsid w:val="00440CEA"/>
    <w:rsid w:val="0044251B"/>
    <w:rsid w:val="00442D50"/>
    <w:rsid w:val="00443472"/>
    <w:rsid w:val="0044411E"/>
    <w:rsid w:val="0044438B"/>
    <w:rsid w:val="0044492E"/>
    <w:rsid w:val="00444E52"/>
    <w:rsid w:val="00445C59"/>
    <w:rsid w:val="00445FD6"/>
    <w:rsid w:val="00446CBF"/>
    <w:rsid w:val="00447709"/>
    <w:rsid w:val="004515CF"/>
    <w:rsid w:val="00451638"/>
    <w:rsid w:val="0045235C"/>
    <w:rsid w:val="0045312C"/>
    <w:rsid w:val="00453FF3"/>
    <w:rsid w:val="00454C9D"/>
    <w:rsid w:val="004577E3"/>
    <w:rsid w:val="00460A12"/>
    <w:rsid w:val="00460D50"/>
    <w:rsid w:val="0046191C"/>
    <w:rsid w:val="00462872"/>
    <w:rsid w:val="00462942"/>
    <w:rsid w:val="00462F5A"/>
    <w:rsid w:val="00463272"/>
    <w:rsid w:val="00464864"/>
    <w:rsid w:val="004651B6"/>
    <w:rsid w:val="0046530A"/>
    <w:rsid w:val="00466114"/>
    <w:rsid w:val="00466DA6"/>
    <w:rsid w:val="00466EA6"/>
    <w:rsid w:val="004679D6"/>
    <w:rsid w:val="00470C0E"/>
    <w:rsid w:val="004719E3"/>
    <w:rsid w:val="00471B54"/>
    <w:rsid w:val="00471E49"/>
    <w:rsid w:val="00472641"/>
    <w:rsid w:val="00472E61"/>
    <w:rsid w:val="0047391D"/>
    <w:rsid w:val="004740AD"/>
    <w:rsid w:val="0047426F"/>
    <w:rsid w:val="00474F9A"/>
    <w:rsid w:val="00480EF2"/>
    <w:rsid w:val="0048164C"/>
    <w:rsid w:val="004824CD"/>
    <w:rsid w:val="0048267D"/>
    <w:rsid w:val="00483D6F"/>
    <w:rsid w:val="00483E0A"/>
    <w:rsid w:val="004845EA"/>
    <w:rsid w:val="0048519F"/>
    <w:rsid w:val="00485822"/>
    <w:rsid w:val="00485E84"/>
    <w:rsid w:val="0048628F"/>
    <w:rsid w:val="00486923"/>
    <w:rsid w:val="00486FB1"/>
    <w:rsid w:val="004877A3"/>
    <w:rsid w:val="00490236"/>
    <w:rsid w:val="0049169B"/>
    <w:rsid w:val="00491CD1"/>
    <w:rsid w:val="004921FF"/>
    <w:rsid w:val="00493235"/>
    <w:rsid w:val="00494586"/>
    <w:rsid w:val="00494923"/>
    <w:rsid w:val="00494FD8"/>
    <w:rsid w:val="00495009"/>
    <w:rsid w:val="00495044"/>
    <w:rsid w:val="0049532F"/>
    <w:rsid w:val="00495371"/>
    <w:rsid w:val="00496FB8"/>
    <w:rsid w:val="004A0969"/>
    <w:rsid w:val="004A15F1"/>
    <w:rsid w:val="004A243D"/>
    <w:rsid w:val="004A2A89"/>
    <w:rsid w:val="004A3A9A"/>
    <w:rsid w:val="004A3C8C"/>
    <w:rsid w:val="004A42B1"/>
    <w:rsid w:val="004A4483"/>
    <w:rsid w:val="004A4B55"/>
    <w:rsid w:val="004A55A0"/>
    <w:rsid w:val="004A5800"/>
    <w:rsid w:val="004A5863"/>
    <w:rsid w:val="004A66B9"/>
    <w:rsid w:val="004A6733"/>
    <w:rsid w:val="004A6D8A"/>
    <w:rsid w:val="004B0E3B"/>
    <w:rsid w:val="004B12C6"/>
    <w:rsid w:val="004B13C7"/>
    <w:rsid w:val="004B1E1E"/>
    <w:rsid w:val="004B1F4E"/>
    <w:rsid w:val="004B225B"/>
    <w:rsid w:val="004B2960"/>
    <w:rsid w:val="004B3C61"/>
    <w:rsid w:val="004B451D"/>
    <w:rsid w:val="004B5B02"/>
    <w:rsid w:val="004B6930"/>
    <w:rsid w:val="004B77A4"/>
    <w:rsid w:val="004B7C30"/>
    <w:rsid w:val="004B7DBF"/>
    <w:rsid w:val="004C04CF"/>
    <w:rsid w:val="004C0D05"/>
    <w:rsid w:val="004C1E18"/>
    <w:rsid w:val="004C1F17"/>
    <w:rsid w:val="004C2942"/>
    <w:rsid w:val="004C2D55"/>
    <w:rsid w:val="004C2E5F"/>
    <w:rsid w:val="004C4795"/>
    <w:rsid w:val="004C4A2D"/>
    <w:rsid w:val="004C4BD1"/>
    <w:rsid w:val="004C53E1"/>
    <w:rsid w:val="004C5F5E"/>
    <w:rsid w:val="004C687C"/>
    <w:rsid w:val="004C6FA8"/>
    <w:rsid w:val="004C7DA9"/>
    <w:rsid w:val="004D0EB3"/>
    <w:rsid w:val="004D1D7A"/>
    <w:rsid w:val="004D3835"/>
    <w:rsid w:val="004D3E69"/>
    <w:rsid w:val="004D3FC5"/>
    <w:rsid w:val="004D4222"/>
    <w:rsid w:val="004D5CD0"/>
    <w:rsid w:val="004D60EC"/>
    <w:rsid w:val="004D62EB"/>
    <w:rsid w:val="004D638B"/>
    <w:rsid w:val="004D675F"/>
    <w:rsid w:val="004D7731"/>
    <w:rsid w:val="004E070E"/>
    <w:rsid w:val="004E08FD"/>
    <w:rsid w:val="004E1F4F"/>
    <w:rsid w:val="004E2C46"/>
    <w:rsid w:val="004E2E8D"/>
    <w:rsid w:val="004E326C"/>
    <w:rsid w:val="004E370C"/>
    <w:rsid w:val="004E37AE"/>
    <w:rsid w:val="004E465B"/>
    <w:rsid w:val="004E4B2E"/>
    <w:rsid w:val="004E57FC"/>
    <w:rsid w:val="004E5B43"/>
    <w:rsid w:val="004E5E86"/>
    <w:rsid w:val="004E7B66"/>
    <w:rsid w:val="004F10FB"/>
    <w:rsid w:val="004F17AC"/>
    <w:rsid w:val="004F2317"/>
    <w:rsid w:val="004F2605"/>
    <w:rsid w:val="004F27A9"/>
    <w:rsid w:val="004F2B24"/>
    <w:rsid w:val="004F300B"/>
    <w:rsid w:val="004F3800"/>
    <w:rsid w:val="004F513A"/>
    <w:rsid w:val="004F675A"/>
    <w:rsid w:val="004F7A55"/>
    <w:rsid w:val="00500F98"/>
    <w:rsid w:val="005033B5"/>
    <w:rsid w:val="005042FA"/>
    <w:rsid w:val="00504424"/>
    <w:rsid w:val="00505920"/>
    <w:rsid w:val="00511D2F"/>
    <w:rsid w:val="00512ADA"/>
    <w:rsid w:val="0051332C"/>
    <w:rsid w:val="0051364C"/>
    <w:rsid w:val="005148A3"/>
    <w:rsid w:val="00514A96"/>
    <w:rsid w:val="00514AB7"/>
    <w:rsid w:val="0051590D"/>
    <w:rsid w:val="0051715B"/>
    <w:rsid w:val="005174C8"/>
    <w:rsid w:val="00517B59"/>
    <w:rsid w:val="00520C2C"/>
    <w:rsid w:val="00520E40"/>
    <w:rsid w:val="00522F53"/>
    <w:rsid w:val="0052567C"/>
    <w:rsid w:val="0052606E"/>
    <w:rsid w:val="005272AE"/>
    <w:rsid w:val="00527E3A"/>
    <w:rsid w:val="00527E9B"/>
    <w:rsid w:val="00530654"/>
    <w:rsid w:val="0053065C"/>
    <w:rsid w:val="005316F5"/>
    <w:rsid w:val="00531E2C"/>
    <w:rsid w:val="00532991"/>
    <w:rsid w:val="00533D71"/>
    <w:rsid w:val="00535514"/>
    <w:rsid w:val="00535B47"/>
    <w:rsid w:val="00535F3B"/>
    <w:rsid w:val="00536002"/>
    <w:rsid w:val="00536846"/>
    <w:rsid w:val="0053700A"/>
    <w:rsid w:val="005372E4"/>
    <w:rsid w:val="005376EB"/>
    <w:rsid w:val="00537F10"/>
    <w:rsid w:val="005415C5"/>
    <w:rsid w:val="00541674"/>
    <w:rsid w:val="00543306"/>
    <w:rsid w:val="005435F5"/>
    <w:rsid w:val="005436DF"/>
    <w:rsid w:val="005439BB"/>
    <w:rsid w:val="005448F4"/>
    <w:rsid w:val="00544F45"/>
    <w:rsid w:val="00545647"/>
    <w:rsid w:val="0055089F"/>
    <w:rsid w:val="00550B15"/>
    <w:rsid w:val="00551724"/>
    <w:rsid w:val="005520ED"/>
    <w:rsid w:val="00552BFA"/>
    <w:rsid w:val="00553C16"/>
    <w:rsid w:val="0055444A"/>
    <w:rsid w:val="00554549"/>
    <w:rsid w:val="00554F81"/>
    <w:rsid w:val="00554F9C"/>
    <w:rsid w:val="00556A21"/>
    <w:rsid w:val="00556E13"/>
    <w:rsid w:val="005573A8"/>
    <w:rsid w:val="00557E29"/>
    <w:rsid w:val="0056012B"/>
    <w:rsid w:val="005607B0"/>
    <w:rsid w:val="00560B0A"/>
    <w:rsid w:val="005613A6"/>
    <w:rsid w:val="00561B59"/>
    <w:rsid w:val="00562BA7"/>
    <w:rsid w:val="00562D05"/>
    <w:rsid w:val="00562D90"/>
    <w:rsid w:val="00563061"/>
    <w:rsid w:val="00564196"/>
    <w:rsid w:val="00564862"/>
    <w:rsid w:val="00564FBC"/>
    <w:rsid w:val="005653BB"/>
    <w:rsid w:val="005654E5"/>
    <w:rsid w:val="0056696A"/>
    <w:rsid w:val="005669A4"/>
    <w:rsid w:val="00566AE7"/>
    <w:rsid w:val="005670B6"/>
    <w:rsid w:val="00567F4B"/>
    <w:rsid w:val="00570602"/>
    <w:rsid w:val="005708B5"/>
    <w:rsid w:val="00571371"/>
    <w:rsid w:val="0057139E"/>
    <w:rsid w:val="005734C2"/>
    <w:rsid w:val="005734CE"/>
    <w:rsid w:val="00573D5A"/>
    <w:rsid w:val="00574531"/>
    <w:rsid w:val="00574C7F"/>
    <w:rsid w:val="0057556E"/>
    <w:rsid w:val="00577541"/>
    <w:rsid w:val="00577EB1"/>
    <w:rsid w:val="00581A78"/>
    <w:rsid w:val="00584768"/>
    <w:rsid w:val="00585738"/>
    <w:rsid w:val="005859F8"/>
    <w:rsid w:val="00590454"/>
    <w:rsid w:val="005917B2"/>
    <w:rsid w:val="00591809"/>
    <w:rsid w:val="00592137"/>
    <w:rsid w:val="005929CD"/>
    <w:rsid w:val="00592AA9"/>
    <w:rsid w:val="00592EB8"/>
    <w:rsid w:val="00593C70"/>
    <w:rsid w:val="00593DD5"/>
    <w:rsid w:val="00593EC7"/>
    <w:rsid w:val="00594876"/>
    <w:rsid w:val="00594D7A"/>
    <w:rsid w:val="00595737"/>
    <w:rsid w:val="00596D91"/>
    <w:rsid w:val="0059750C"/>
    <w:rsid w:val="005A03A5"/>
    <w:rsid w:val="005A0543"/>
    <w:rsid w:val="005A179F"/>
    <w:rsid w:val="005A1D68"/>
    <w:rsid w:val="005A3A12"/>
    <w:rsid w:val="005A3A43"/>
    <w:rsid w:val="005A4D3A"/>
    <w:rsid w:val="005A50D0"/>
    <w:rsid w:val="005A5186"/>
    <w:rsid w:val="005A579B"/>
    <w:rsid w:val="005A5992"/>
    <w:rsid w:val="005A6425"/>
    <w:rsid w:val="005A682B"/>
    <w:rsid w:val="005A7274"/>
    <w:rsid w:val="005A755C"/>
    <w:rsid w:val="005B0673"/>
    <w:rsid w:val="005B2E7D"/>
    <w:rsid w:val="005B3991"/>
    <w:rsid w:val="005B3F75"/>
    <w:rsid w:val="005B450C"/>
    <w:rsid w:val="005B6729"/>
    <w:rsid w:val="005B7273"/>
    <w:rsid w:val="005C0047"/>
    <w:rsid w:val="005C006F"/>
    <w:rsid w:val="005C0A72"/>
    <w:rsid w:val="005C0FBB"/>
    <w:rsid w:val="005C268E"/>
    <w:rsid w:val="005C3ABC"/>
    <w:rsid w:val="005C3C7E"/>
    <w:rsid w:val="005C3E7F"/>
    <w:rsid w:val="005C4324"/>
    <w:rsid w:val="005C4C33"/>
    <w:rsid w:val="005C50BD"/>
    <w:rsid w:val="005C570A"/>
    <w:rsid w:val="005C5F10"/>
    <w:rsid w:val="005C64E0"/>
    <w:rsid w:val="005C64FC"/>
    <w:rsid w:val="005C7C1D"/>
    <w:rsid w:val="005C7EED"/>
    <w:rsid w:val="005D1CC8"/>
    <w:rsid w:val="005D1D09"/>
    <w:rsid w:val="005D2CB2"/>
    <w:rsid w:val="005D3016"/>
    <w:rsid w:val="005D4327"/>
    <w:rsid w:val="005D43F7"/>
    <w:rsid w:val="005D4FAB"/>
    <w:rsid w:val="005D5950"/>
    <w:rsid w:val="005D59F4"/>
    <w:rsid w:val="005D5FA3"/>
    <w:rsid w:val="005D6998"/>
    <w:rsid w:val="005D704C"/>
    <w:rsid w:val="005E02F9"/>
    <w:rsid w:val="005E041F"/>
    <w:rsid w:val="005E04E0"/>
    <w:rsid w:val="005E13C5"/>
    <w:rsid w:val="005E1BE1"/>
    <w:rsid w:val="005E1CA4"/>
    <w:rsid w:val="005E240E"/>
    <w:rsid w:val="005E344E"/>
    <w:rsid w:val="005E46B8"/>
    <w:rsid w:val="005E6506"/>
    <w:rsid w:val="005F16BB"/>
    <w:rsid w:val="005F19BC"/>
    <w:rsid w:val="005F1AC7"/>
    <w:rsid w:val="005F26BD"/>
    <w:rsid w:val="005F2A9A"/>
    <w:rsid w:val="005F3936"/>
    <w:rsid w:val="005F4FF9"/>
    <w:rsid w:val="005F5C27"/>
    <w:rsid w:val="005F73CE"/>
    <w:rsid w:val="005F7F63"/>
    <w:rsid w:val="006007C9"/>
    <w:rsid w:val="006011A6"/>
    <w:rsid w:val="006015F5"/>
    <w:rsid w:val="00601698"/>
    <w:rsid w:val="00601DCE"/>
    <w:rsid w:val="00602B00"/>
    <w:rsid w:val="006032D9"/>
    <w:rsid w:val="00603CA2"/>
    <w:rsid w:val="006057C4"/>
    <w:rsid w:val="0060655A"/>
    <w:rsid w:val="00606CE6"/>
    <w:rsid w:val="00611523"/>
    <w:rsid w:val="006126B0"/>
    <w:rsid w:val="00612AEF"/>
    <w:rsid w:val="00612BB3"/>
    <w:rsid w:val="00612F7F"/>
    <w:rsid w:val="00613D02"/>
    <w:rsid w:val="00614B43"/>
    <w:rsid w:val="00614DE7"/>
    <w:rsid w:val="006150C0"/>
    <w:rsid w:val="00615147"/>
    <w:rsid w:val="00615B43"/>
    <w:rsid w:val="00615B6A"/>
    <w:rsid w:val="006160BF"/>
    <w:rsid w:val="006173BE"/>
    <w:rsid w:val="00617B92"/>
    <w:rsid w:val="00620687"/>
    <w:rsid w:val="006206A3"/>
    <w:rsid w:val="00621694"/>
    <w:rsid w:val="00621F84"/>
    <w:rsid w:val="00622D02"/>
    <w:rsid w:val="00624BF3"/>
    <w:rsid w:val="00624CD0"/>
    <w:rsid w:val="0062588C"/>
    <w:rsid w:val="00625CFF"/>
    <w:rsid w:val="006269E3"/>
    <w:rsid w:val="00627508"/>
    <w:rsid w:val="00627BA0"/>
    <w:rsid w:val="006312B7"/>
    <w:rsid w:val="006322FA"/>
    <w:rsid w:val="006323DB"/>
    <w:rsid w:val="00632602"/>
    <w:rsid w:val="006326FD"/>
    <w:rsid w:val="00632735"/>
    <w:rsid w:val="006332CF"/>
    <w:rsid w:val="0063342A"/>
    <w:rsid w:val="0063513E"/>
    <w:rsid w:val="00635177"/>
    <w:rsid w:val="00635524"/>
    <w:rsid w:val="00635550"/>
    <w:rsid w:val="00635587"/>
    <w:rsid w:val="00635630"/>
    <w:rsid w:val="00635A19"/>
    <w:rsid w:val="006366FA"/>
    <w:rsid w:val="00636AD2"/>
    <w:rsid w:val="00636B22"/>
    <w:rsid w:val="00636D58"/>
    <w:rsid w:val="006401E2"/>
    <w:rsid w:val="00640A77"/>
    <w:rsid w:val="006424D6"/>
    <w:rsid w:val="00642B42"/>
    <w:rsid w:val="0064317E"/>
    <w:rsid w:val="006439B1"/>
    <w:rsid w:val="00645711"/>
    <w:rsid w:val="006475CB"/>
    <w:rsid w:val="00650419"/>
    <w:rsid w:val="006506A3"/>
    <w:rsid w:val="00651685"/>
    <w:rsid w:val="006525C8"/>
    <w:rsid w:val="00652645"/>
    <w:rsid w:val="00652992"/>
    <w:rsid w:val="00653243"/>
    <w:rsid w:val="0065342A"/>
    <w:rsid w:val="0065428A"/>
    <w:rsid w:val="006556CD"/>
    <w:rsid w:val="006558B2"/>
    <w:rsid w:val="00656683"/>
    <w:rsid w:val="006570B3"/>
    <w:rsid w:val="00657B6A"/>
    <w:rsid w:val="00661256"/>
    <w:rsid w:val="00662328"/>
    <w:rsid w:val="006623A0"/>
    <w:rsid w:val="006626C4"/>
    <w:rsid w:val="006631C6"/>
    <w:rsid w:val="00663429"/>
    <w:rsid w:val="0066361E"/>
    <w:rsid w:val="006637C1"/>
    <w:rsid w:val="006645C9"/>
    <w:rsid w:val="00664951"/>
    <w:rsid w:val="0066497E"/>
    <w:rsid w:val="00664DCB"/>
    <w:rsid w:val="006651B8"/>
    <w:rsid w:val="00667B12"/>
    <w:rsid w:val="00667EFC"/>
    <w:rsid w:val="00671A4F"/>
    <w:rsid w:val="00671B2E"/>
    <w:rsid w:val="00672CF1"/>
    <w:rsid w:val="00673002"/>
    <w:rsid w:val="00673DA6"/>
    <w:rsid w:val="00673EA1"/>
    <w:rsid w:val="00674735"/>
    <w:rsid w:val="00674C70"/>
    <w:rsid w:val="00675171"/>
    <w:rsid w:val="00675536"/>
    <w:rsid w:val="0067724A"/>
    <w:rsid w:val="006773EB"/>
    <w:rsid w:val="00681BC4"/>
    <w:rsid w:val="00681D51"/>
    <w:rsid w:val="00681FF4"/>
    <w:rsid w:val="00682095"/>
    <w:rsid w:val="00682E07"/>
    <w:rsid w:val="00684774"/>
    <w:rsid w:val="00684A1C"/>
    <w:rsid w:val="0068724F"/>
    <w:rsid w:val="006921E4"/>
    <w:rsid w:val="006925B2"/>
    <w:rsid w:val="00692C72"/>
    <w:rsid w:val="00692DA6"/>
    <w:rsid w:val="00692F5D"/>
    <w:rsid w:val="00694237"/>
    <w:rsid w:val="00695831"/>
    <w:rsid w:val="0069609C"/>
    <w:rsid w:val="00696475"/>
    <w:rsid w:val="00697CBC"/>
    <w:rsid w:val="006A04E8"/>
    <w:rsid w:val="006A0906"/>
    <w:rsid w:val="006A0A5F"/>
    <w:rsid w:val="006A1CEF"/>
    <w:rsid w:val="006A230C"/>
    <w:rsid w:val="006A2667"/>
    <w:rsid w:val="006A4219"/>
    <w:rsid w:val="006A438A"/>
    <w:rsid w:val="006A457F"/>
    <w:rsid w:val="006A47C8"/>
    <w:rsid w:val="006A4EE6"/>
    <w:rsid w:val="006A57C3"/>
    <w:rsid w:val="006A66E1"/>
    <w:rsid w:val="006A7647"/>
    <w:rsid w:val="006B0088"/>
    <w:rsid w:val="006B074C"/>
    <w:rsid w:val="006B086C"/>
    <w:rsid w:val="006B0C1B"/>
    <w:rsid w:val="006B0E27"/>
    <w:rsid w:val="006B178D"/>
    <w:rsid w:val="006B1836"/>
    <w:rsid w:val="006B1DA4"/>
    <w:rsid w:val="006B24FC"/>
    <w:rsid w:val="006B2E24"/>
    <w:rsid w:val="006B3963"/>
    <w:rsid w:val="006B39F7"/>
    <w:rsid w:val="006B40A8"/>
    <w:rsid w:val="006B52A5"/>
    <w:rsid w:val="006B58CE"/>
    <w:rsid w:val="006B6561"/>
    <w:rsid w:val="006B66B1"/>
    <w:rsid w:val="006B6E52"/>
    <w:rsid w:val="006B7CC4"/>
    <w:rsid w:val="006C042C"/>
    <w:rsid w:val="006C05D6"/>
    <w:rsid w:val="006C0EA8"/>
    <w:rsid w:val="006C11CE"/>
    <w:rsid w:val="006C1297"/>
    <w:rsid w:val="006C17FE"/>
    <w:rsid w:val="006C1DCA"/>
    <w:rsid w:val="006C32AD"/>
    <w:rsid w:val="006C36AA"/>
    <w:rsid w:val="006C44D2"/>
    <w:rsid w:val="006C48F2"/>
    <w:rsid w:val="006C56E8"/>
    <w:rsid w:val="006C5A7C"/>
    <w:rsid w:val="006C5CE1"/>
    <w:rsid w:val="006C5DE5"/>
    <w:rsid w:val="006C5EB1"/>
    <w:rsid w:val="006C63AE"/>
    <w:rsid w:val="006C72B8"/>
    <w:rsid w:val="006C7CAA"/>
    <w:rsid w:val="006D02C6"/>
    <w:rsid w:val="006D0ABC"/>
    <w:rsid w:val="006D1715"/>
    <w:rsid w:val="006D1C26"/>
    <w:rsid w:val="006D352B"/>
    <w:rsid w:val="006D4458"/>
    <w:rsid w:val="006D4F28"/>
    <w:rsid w:val="006D54FB"/>
    <w:rsid w:val="006D5E8C"/>
    <w:rsid w:val="006D75DD"/>
    <w:rsid w:val="006D77A4"/>
    <w:rsid w:val="006E0EF1"/>
    <w:rsid w:val="006E232F"/>
    <w:rsid w:val="006E2458"/>
    <w:rsid w:val="006E2A2E"/>
    <w:rsid w:val="006E3737"/>
    <w:rsid w:val="006E485A"/>
    <w:rsid w:val="006E4FA5"/>
    <w:rsid w:val="006E5197"/>
    <w:rsid w:val="006E5AA4"/>
    <w:rsid w:val="006E5F28"/>
    <w:rsid w:val="006E6DE0"/>
    <w:rsid w:val="006E6F63"/>
    <w:rsid w:val="006E74CD"/>
    <w:rsid w:val="006E7D63"/>
    <w:rsid w:val="006F1546"/>
    <w:rsid w:val="006F1662"/>
    <w:rsid w:val="006F180F"/>
    <w:rsid w:val="006F205E"/>
    <w:rsid w:val="006F4A5D"/>
    <w:rsid w:val="006F4D7D"/>
    <w:rsid w:val="006F4EE2"/>
    <w:rsid w:val="006F4F84"/>
    <w:rsid w:val="006F5808"/>
    <w:rsid w:val="0070052C"/>
    <w:rsid w:val="00700E56"/>
    <w:rsid w:val="00700FCE"/>
    <w:rsid w:val="00701F00"/>
    <w:rsid w:val="0070292F"/>
    <w:rsid w:val="0070374B"/>
    <w:rsid w:val="00703AA9"/>
    <w:rsid w:val="00703B2E"/>
    <w:rsid w:val="00704502"/>
    <w:rsid w:val="00704E9B"/>
    <w:rsid w:val="0070522E"/>
    <w:rsid w:val="00706099"/>
    <w:rsid w:val="0070700F"/>
    <w:rsid w:val="00707232"/>
    <w:rsid w:val="007076A3"/>
    <w:rsid w:val="007103F0"/>
    <w:rsid w:val="007108E4"/>
    <w:rsid w:val="0071143F"/>
    <w:rsid w:val="00711AC7"/>
    <w:rsid w:val="007129A6"/>
    <w:rsid w:val="007129EA"/>
    <w:rsid w:val="007134D3"/>
    <w:rsid w:val="00714019"/>
    <w:rsid w:val="00714F7B"/>
    <w:rsid w:val="00715E56"/>
    <w:rsid w:val="00716B53"/>
    <w:rsid w:val="007206A2"/>
    <w:rsid w:val="00720B83"/>
    <w:rsid w:val="007213FE"/>
    <w:rsid w:val="00722CCF"/>
    <w:rsid w:val="00723E94"/>
    <w:rsid w:val="007248E5"/>
    <w:rsid w:val="007253AA"/>
    <w:rsid w:val="00726D8B"/>
    <w:rsid w:val="00726D8E"/>
    <w:rsid w:val="0072778D"/>
    <w:rsid w:val="0072795F"/>
    <w:rsid w:val="007338F2"/>
    <w:rsid w:val="00733B7E"/>
    <w:rsid w:val="00734050"/>
    <w:rsid w:val="00734D06"/>
    <w:rsid w:val="007354FE"/>
    <w:rsid w:val="00735823"/>
    <w:rsid w:val="00735D37"/>
    <w:rsid w:val="007367D7"/>
    <w:rsid w:val="00736F05"/>
    <w:rsid w:val="00742D88"/>
    <w:rsid w:val="00743BFB"/>
    <w:rsid w:val="00744778"/>
    <w:rsid w:val="00744CB4"/>
    <w:rsid w:val="00744D8F"/>
    <w:rsid w:val="0074511B"/>
    <w:rsid w:val="00745550"/>
    <w:rsid w:val="00745A36"/>
    <w:rsid w:val="00746735"/>
    <w:rsid w:val="00746C61"/>
    <w:rsid w:val="00746C75"/>
    <w:rsid w:val="00746F5F"/>
    <w:rsid w:val="00747E04"/>
    <w:rsid w:val="00747ECE"/>
    <w:rsid w:val="00747ED4"/>
    <w:rsid w:val="00750336"/>
    <w:rsid w:val="00750DD5"/>
    <w:rsid w:val="007515F8"/>
    <w:rsid w:val="00751892"/>
    <w:rsid w:val="00752045"/>
    <w:rsid w:val="007521B1"/>
    <w:rsid w:val="00752FB6"/>
    <w:rsid w:val="00753D26"/>
    <w:rsid w:val="0075432E"/>
    <w:rsid w:val="007543A6"/>
    <w:rsid w:val="007552C8"/>
    <w:rsid w:val="0075584F"/>
    <w:rsid w:val="00756B09"/>
    <w:rsid w:val="0075727E"/>
    <w:rsid w:val="0075789C"/>
    <w:rsid w:val="00760FFE"/>
    <w:rsid w:val="00761103"/>
    <w:rsid w:val="00762150"/>
    <w:rsid w:val="00763032"/>
    <w:rsid w:val="0076345C"/>
    <w:rsid w:val="007634EE"/>
    <w:rsid w:val="007649DC"/>
    <w:rsid w:val="0076524B"/>
    <w:rsid w:val="00765FD0"/>
    <w:rsid w:val="00767E72"/>
    <w:rsid w:val="00770111"/>
    <w:rsid w:val="00770222"/>
    <w:rsid w:val="007710E9"/>
    <w:rsid w:val="007718D7"/>
    <w:rsid w:val="00771F00"/>
    <w:rsid w:val="00772161"/>
    <w:rsid w:val="00773410"/>
    <w:rsid w:val="00773476"/>
    <w:rsid w:val="00773752"/>
    <w:rsid w:val="00773DDC"/>
    <w:rsid w:val="007742F6"/>
    <w:rsid w:val="00774344"/>
    <w:rsid w:val="00774DBF"/>
    <w:rsid w:val="00774EF6"/>
    <w:rsid w:val="007758AA"/>
    <w:rsid w:val="00775A7B"/>
    <w:rsid w:val="00776F28"/>
    <w:rsid w:val="00777013"/>
    <w:rsid w:val="007771E7"/>
    <w:rsid w:val="0078181A"/>
    <w:rsid w:val="00782A85"/>
    <w:rsid w:val="00783D20"/>
    <w:rsid w:val="00783FFF"/>
    <w:rsid w:val="00785A7A"/>
    <w:rsid w:val="00786C73"/>
    <w:rsid w:val="0078762A"/>
    <w:rsid w:val="00787E9F"/>
    <w:rsid w:val="0079039A"/>
    <w:rsid w:val="007908D5"/>
    <w:rsid w:val="007909B6"/>
    <w:rsid w:val="00790B62"/>
    <w:rsid w:val="007926AA"/>
    <w:rsid w:val="0079298C"/>
    <w:rsid w:val="00792E93"/>
    <w:rsid w:val="00793655"/>
    <w:rsid w:val="007937EE"/>
    <w:rsid w:val="00793EED"/>
    <w:rsid w:val="00794610"/>
    <w:rsid w:val="00795A2B"/>
    <w:rsid w:val="00795B26"/>
    <w:rsid w:val="007961A0"/>
    <w:rsid w:val="007962F2"/>
    <w:rsid w:val="00796C73"/>
    <w:rsid w:val="007A0BA4"/>
    <w:rsid w:val="007A1312"/>
    <w:rsid w:val="007A1504"/>
    <w:rsid w:val="007A1E89"/>
    <w:rsid w:val="007A2476"/>
    <w:rsid w:val="007A2AA3"/>
    <w:rsid w:val="007A2B65"/>
    <w:rsid w:val="007A3276"/>
    <w:rsid w:val="007A3491"/>
    <w:rsid w:val="007A36AF"/>
    <w:rsid w:val="007A37C6"/>
    <w:rsid w:val="007A3920"/>
    <w:rsid w:val="007A392D"/>
    <w:rsid w:val="007A6750"/>
    <w:rsid w:val="007A722A"/>
    <w:rsid w:val="007B05EC"/>
    <w:rsid w:val="007B19F2"/>
    <w:rsid w:val="007B1FFC"/>
    <w:rsid w:val="007B2744"/>
    <w:rsid w:val="007B2B49"/>
    <w:rsid w:val="007B3C95"/>
    <w:rsid w:val="007B3CC6"/>
    <w:rsid w:val="007B413F"/>
    <w:rsid w:val="007B471F"/>
    <w:rsid w:val="007B52DE"/>
    <w:rsid w:val="007B6001"/>
    <w:rsid w:val="007B6BC4"/>
    <w:rsid w:val="007C002C"/>
    <w:rsid w:val="007C0F4D"/>
    <w:rsid w:val="007C1A65"/>
    <w:rsid w:val="007C2317"/>
    <w:rsid w:val="007C2DD8"/>
    <w:rsid w:val="007C3880"/>
    <w:rsid w:val="007C3FAC"/>
    <w:rsid w:val="007C596B"/>
    <w:rsid w:val="007C725B"/>
    <w:rsid w:val="007C7F14"/>
    <w:rsid w:val="007D03BD"/>
    <w:rsid w:val="007D0D7F"/>
    <w:rsid w:val="007D15F9"/>
    <w:rsid w:val="007D1F1E"/>
    <w:rsid w:val="007D2719"/>
    <w:rsid w:val="007D2E7D"/>
    <w:rsid w:val="007D318B"/>
    <w:rsid w:val="007D3314"/>
    <w:rsid w:val="007D3E4A"/>
    <w:rsid w:val="007D4125"/>
    <w:rsid w:val="007D4DB7"/>
    <w:rsid w:val="007D599B"/>
    <w:rsid w:val="007D6013"/>
    <w:rsid w:val="007D69B7"/>
    <w:rsid w:val="007E049E"/>
    <w:rsid w:val="007E0E61"/>
    <w:rsid w:val="007E0F62"/>
    <w:rsid w:val="007E156E"/>
    <w:rsid w:val="007E15F1"/>
    <w:rsid w:val="007E1A22"/>
    <w:rsid w:val="007E256A"/>
    <w:rsid w:val="007E3A7A"/>
    <w:rsid w:val="007E454D"/>
    <w:rsid w:val="007E4CD1"/>
    <w:rsid w:val="007E5741"/>
    <w:rsid w:val="007E614C"/>
    <w:rsid w:val="007E63EC"/>
    <w:rsid w:val="007E67F9"/>
    <w:rsid w:val="007E6A31"/>
    <w:rsid w:val="007E6E22"/>
    <w:rsid w:val="007E7724"/>
    <w:rsid w:val="007F00FB"/>
    <w:rsid w:val="007F06B6"/>
    <w:rsid w:val="007F0E0C"/>
    <w:rsid w:val="007F10A1"/>
    <w:rsid w:val="007F1431"/>
    <w:rsid w:val="007F152C"/>
    <w:rsid w:val="007F1A59"/>
    <w:rsid w:val="007F29A2"/>
    <w:rsid w:val="007F3FC0"/>
    <w:rsid w:val="007F4D27"/>
    <w:rsid w:val="007F515C"/>
    <w:rsid w:val="007F528F"/>
    <w:rsid w:val="007F5683"/>
    <w:rsid w:val="007F59E1"/>
    <w:rsid w:val="007F5A67"/>
    <w:rsid w:val="007F6099"/>
    <w:rsid w:val="007F6430"/>
    <w:rsid w:val="007F6DDC"/>
    <w:rsid w:val="007F7077"/>
    <w:rsid w:val="007F7E5C"/>
    <w:rsid w:val="00800AB1"/>
    <w:rsid w:val="00800C18"/>
    <w:rsid w:val="00801AD8"/>
    <w:rsid w:val="00802B00"/>
    <w:rsid w:val="00802F07"/>
    <w:rsid w:val="00803CF5"/>
    <w:rsid w:val="008042A6"/>
    <w:rsid w:val="008044D2"/>
    <w:rsid w:val="00804AD2"/>
    <w:rsid w:val="008052B4"/>
    <w:rsid w:val="00807D40"/>
    <w:rsid w:val="00807E2D"/>
    <w:rsid w:val="00811A6D"/>
    <w:rsid w:val="00811B20"/>
    <w:rsid w:val="00813C8A"/>
    <w:rsid w:val="00813E39"/>
    <w:rsid w:val="00814CB7"/>
    <w:rsid w:val="00815BAE"/>
    <w:rsid w:val="00816D67"/>
    <w:rsid w:val="00816E91"/>
    <w:rsid w:val="00817120"/>
    <w:rsid w:val="00817761"/>
    <w:rsid w:val="00820538"/>
    <w:rsid w:val="00820551"/>
    <w:rsid w:val="00820A43"/>
    <w:rsid w:val="0082147D"/>
    <w:rsid w:val="008220F1"/>
    <w:rsid w:val="00822D66"/>
    <w:rsid w:val="00823186"/>
    <w:rsid w:val="00823AE0"/>
    <w:rsid w:val="00824EE3"/>
    <w:rsid w:val="00825047"/>
    <w:rsid w:val="0082517A"/>
    <w:rsid w:val="00825566"/>
    <w:rsid w:val="008263FA"/>
    <w:rsid w:val="0082774B"/>
    <w:rsid w:val="00827868"/>
    <w:rsid w:val="00831AB3"/>
    <w:rsid w:val="00832322"/>
    <w:rsid w:val="00832674"/>
    <w:rsid w:val="00832A61"/>
    <w:rsid w:val="00832BEF"/>
    <w:rsid w:val="00833494"/>
    <w:rsid w:val="008334E2"/>
    <w:rsid w:val="0083406F"/>
    <w:rsid w:val="0083466D"/>
    <w:rsid w:val="008346AD"/>
    <w:rsid w:val="0083523E"/>
    <w:rsid w:val="00835FB2"/>
    <w:rsid w:val="00835FC0"/>
    <w:rsid w:val="008371B9"/>
    <w:rsid w:val="008371F3"/>
    <w:rsid w:val="00842882"/>
    <w:rsid w:val="00842BA1"/>
    <w:rsid w:val="0084582D"/>
    <w:rsid w:val="00845A8E"/>
    <w:rsid w:val="008471D5"/>
    <w:rsid w:val="00847602"/>
    <w:rsid w:val="0084779D"/>
    <w:rsid w:val="00850348"/>
    <w:rsid w:val="00851221"/>
    <w:rsid w:val="00851BCF"/>
    <w:rsid w:val="008533A5"/>
    <w:rsid w:val="008546FE"/>
    <w:rsid w:val="00855AAC"/>
    <w:rsid w:val="00857AC9"/>
    <w:rsid w:val="008612FD"/>
    <w:rsid w:val="0086290A"/>
    <w:rsid w:val="00862A60"/>
    <w:rsid w:val="00862F4F"/>
    <w:rsid w:val="00863357"/>
    <w:rsid w:val="00863CB0"/>
    <w:rsid w:val="00864534"/>
    <w:rsid w:val="00865DC3"/>
    <w:rsid w:val="008666C6"/>
    <w:rsid w:val="0086683F"/>
    <w:rsid w:val="00867269"/>
    <w:rsid w:val="00867277"/>
    <w:rsid w:val="008701C4"/>
    <w:rsid w:val="00870904"/>
    <w:rsid w:val="00870F1E"/>
    <w:rsid w:val="0087153A"/>
    <w:rsid w:val="00871DF1"/>
    <w:rsid w:val="0087246E"/>
    <w:rsid w:val="008726AF"/>
    <w:rsid w:val="00875055"/>
    <w:rsid w:val="008752FE"/>
    <w:rsid w:val="008753E1"/>
    <w:rsid w:val="008754DC"/>
    <w:rsid w:val="008757D6"/>
    <w:rsid w:val="00875FC1"/>
    <w:rsid w:val="008768F7"/>
    <w:rsid w:val="00877671"/>
    <w:rsid w:val="00877AAA"/>
    <w:rsid w:val="00877D08"/>
    <w:rsid w:val="00880796"/>
    <w:rsid w:val="0088111E"/>
    <w:rsid w:val="00881E34"/>
    <w:rsid w:val="008826EB"/>
    <w:rsid w:val="00882D2F"/>
    <w:rsid w:val="00883B28"/>
    <w:rsid w:val="008848EC"/>
    <w:rsid w:val="008850F0"/>
    <w:rsid w:val="00885336"/>
    <w:rsid w:val="00885487"/>
    <w:rsid w:val="008859C0"/>
    <w:rsid w:val="00886610"/>
    <w:rsid w:val="0088711D"/>
    <w:rsid w:val="00887407"/>
    <w:rsid w:val="008907AD"/>
    <w:rsid w:val="008926BD"/>
    <w:rsid w:val="00892700"/>
    <w:rsid w:val="008929AB"/>
    <w:rsid w:val="00894084"/>
    <w:rsid w:val="00894C38"/>
    <w:rsid w:val="0089655D"/>
    <w:rsid w:val="008967C2"/>
    <w:rsid w:val="0089798D"/>
    <w:rsid w:val="00897AAE"/>
    <w:rsid w:val="008A15BE"/>
    <w:rsid w:val="008A25D2"/>
    <w:rsid w:val="008A3909"/>
    <w:rsid w:val="008A3DD9"/>
    <w:rsid w:val="008A4921"/>
    <w:rsid w:val="008A4932"/>
    <w:rsid w:val="008A5051"/>
    <w:rsid w:val="008B01DD"/>
    <w:rsid w:val="008B029D"/>
    <w:rsid w:val="008B0B6F"/>
    <w:rsid w:val="008B0E06"/>
    <w:rsid w:val="008B1C37"/>
    <w:rsid w:val="008B248D"/>
    <w:rsid w:val="008B284F"/>
    <w:rsid w:val="008B3482"/>
    <w:rsid w:val="008B36D8"/>
    <w:rsid w:val="008B3E87"/>
    <w:rsid w:val="008B43D8"/>
    <w:rsid w:val="008B48F4"/>
    <w:rsid w:val="008B4D39"/>
    <w:rsid w:val="008B4E7C"/>
    <w:rsid w:val="008B6378"/>
    <w:rsid w:val="008B698B"/>
    <w:rsid w:val="008B7482"/>
    <w:rsid w:val="008B76DE"/>
    <w:rsid w:val="008B7A26"/>
    <w:rsid w:val="008B7BA0"/>
    <w:rsid w:val="008B7DB1"/>
    <w:rsid w:val="008B7DEB"/>
    <w:rsid w:val="008C1060"/>
    <w:rsid w:val="008C19F9"/>
    <w:rsid w:val="008C1F02"/>
    <w:rsid w:val="008C1FC4"/>
    <w:rsid w:val="008C23D1"/>
    <w:rsid w:val="008C39E2"/>
    <w:rsid w:val="008C3C6C"/>
    <w:rsid w:val="008C4062"/>
    <w:rsid w:val="008C476B"/>
    <w:rsid w:val="008C488C"/>
    <w:rsid w:val="008C6DE6"/>
    <w:rsid w:val="008C7D0D"/>
    <w:rsid w:val="008D098C"/>
    <w:rsid w:val="008D1428"/>
    <w:rsid w:val="008D18BD"/>
    <w:rsid w:val="008D2E18"/>
    <w:rsid w:val="008D335B"/>
    <w:rsid w:val="008D3D49"/>
    <w:rsid w:val="008D44E7"/>
    <w:rsid w:val="008D4DEE"/>
    <w:rsid w:val="008D5893"/>
    <w:rsid w:val="008D6A54"/>
    <w:rsid w:val="008D73B2"/>
    <w:rsid w:val="008D7D52"/>
    <w:rsid w:val="008D7F9E"/>
    <w:rsid w:val="008E0247"/>
    <w:rsid w:val="008E10DB"/>
    <w:rsid w:val="008E1C52"/>
    <w:rsid w:val="008E1EB0"/>
    <w:rsid w:val="008E26A8"/>
    <w:rsid w:val="008E36EE"/>
    <w:rsid w:val="008E3B01"/>
    <w:rsid w:val="008E3B63"/>
    <w:rsid w:val="008E4E3C"/>
    <w:rsid w:val="008E5395"/>
    <w:rsid w:val="008E6146"/>
    <w:rsid w:val="008E63B3"/>
    <w:rsid w:val="008E6483"/>
    <w:rsid w:val="008E6AB3"/>
    <w:rsid w:val="008E6AF2"/>
    <w:rsid w:val="008F06BE"/>
    <w:rsid w:val="008F0758"/>
    <w:rsid w:val="008F1CDA"/>
    <w:rsid w:val="008F1E89"/>
    <w:rsid w:val="008F286A"/>
    <w:rsid w:val="008F2E08"/>
    <w:rsid w:val="008F360D"/>
    <w:rsid w:val="008F4B6B"/>
    <w:rsid w:val="008F4E3C"/>
    <w:rsid w:val="008F53C8"/>
    <w:rsid w:val="008F54A5"/>
    <w:rsid w:val="008F579A"/>
    <w:rsid w:val="008F6CF0"/>
    <w:rsid w:val="008F7CF4"/>
    <w:rsid w:val="008F7FF0"/>
    <w:rsid w:val="009005E4"/>
    <w:rsid w:val="00901119"/>
    <w:rsid w:val="00901A38"/>
    <w:rsid w:val="00901A96"/>
    <w:rsid w:val="00902959"/>
    <w:rsid w:val="009031CA"/>
    <w:rsid w:val="009033FA"/>
    <w:rsid w:val="00904451"/>
    <w:rsid w:val="0090454B"/>
    <w:rsid w:val="00904EAB"/>
    <w:rsid w:val="00905171"/>
    <w:rsid w:val="00905865"/>
    <w:rsid w:val="00905CA6"/>
    <w:rsid w:val="0090652D"/>
    <w:rsid w:val="009068C0"/>
    <w:rsid w:val="009069EA"/>
    <w:rsid w:val="00906C80"/>
    <w:rsid w:val="00906E85"/>
    <w:rsid w:val="009070BC"/>
    <w:rsid w:val="00907C3B"/>
    <w:rsid w:val="009102EB"/>
    <w:rsid w:val="00910F1D"/>
    <w:rsid w:val="0091222E"/>
    <w:rsid w:val="009123BD"/>
    <w:rsid w:val="00912D22"/>
    <w:rsid w:val="00913362"/>
    <w:rsid w:val="00915383"/>
    <w:rsid w:val="009167F1"/>
    <w:rsid w:val="00916A9C"/>
    <w:rsid w:val="00916B42"/>
    <w:rsid w:val="00917183"/>
    <w:rsid w:val="00917DBC"/>
    <w:rsid w:val="009207AA"/>
    <w:rsid w:val="0092080B"/>
    <w:rsid w:val="009210F8"/>
    <w:rsid w:val="00921C92"/>
    <w:rsid w:val="00921CB4"/>
    <w:rsid w:val="009228BD"/>
    <w:rsid w:val="0092314B"/>
    <w:rsid w:val="00923606"/>
    <w:rsid w:val="00923945"/>
    <w:rsid w:val="00924D6F"/>
    <w:rsid w:val="009250BA"/>
    <w:rsid w:val="00925964"/>
    <w:rsid w:val="00926E8E"/>
    <w:rsid w:val="009304FC"/>
    <w:rsid w:val="00931D16"/>
    <w:rsid w:val="009339A1"/>
    <w:rsid w:val="009358F1"/>
    <w:rsid w:val="0093684D"/>
    <w:rsid w:val="00936CE2"/>
    <w:rsid w:val="00936F61"/>
    <w:rsid w:val="0093727E"/>
    <w:rsid w:val="009378D5"/>
    <w:rsid w:val="00941A89"/>
    <w:rsid w:val="00941FD3"/>
    <w:rsid w:val="00942601"/>
    <w:rsid w:val="009429B9"/>
    <w:rsid w:val="00943BF3"/>
    <w:rsid w:val="00944884"/>
    <w:rsid w:val="00945AAD"/>
    <w:rsid w:val="009461B6"/>
    <w:rsid w:val="009467F7"/>
    <w:rsid w:val="00946E27"/>
    <w:rsid w:val="00946E34"/>
    <w:rsid w:val="00947091"/>
    <w:rsid w:val="00947F2B"/>
    <w:rsid w:val="0095161B"/>
    <w:rsid w:val="00952767"/>
    <w:rsid w:val="00952FB3"/>
    <w:rsid w:val="009531AB"/>
    <w:rsid w:val="0095339A"/>
    <w:rsid w:val="00953E1F"/>
    <w:rsid w:val="009554BF"/>
    <w:rsid w:val="00955ACF"/>
    <w:rsid w:val="00955EB8"/>
    <w:rsid w:val="00957979"/>
    <w:rsid w:val="00961F15"/>
    <w:rsid w:val="00963176"/>
    <w:rsid w:val="0096321C"/>
    <w:rsid w:val="009637CC"/>
    <w:rsid w:val="0096412F"/>
    <w:rsid w:val="009647D4"/>
    <w:rsid w:val="00964C09"/>
    <w:rsid w:val="0096565E"/>
    <w:rsid w:val="00965DED"/>
    <w:rsid w:val="00966290"/>
    <w:rsid w:val="00966801"/>
    <w:rsid w:val="00967F07"/>
    <w:rsid w:val="00970585"/>
    <w:rsid w:val="009708B2"/>
    <w:rsid w:val="00971ACF"/>
    <w:rsid w:val="00971D30"/>
    <w:rsid w:val="00971EDC"/>
    <w:rsid w:val="00973036"/>
    <w:rsid w:val="00973398"/>
    <w:rsid w:val="00973F6E"/>
    <w:rsid w:val="0097550D"/>
    <w:rsid w:val="00976DA4"/>
    <w:rsid w:val="00980579"/>
    <w:rsid w:val="00980BBA"/>
    <w:rsid w:val="00981122"/>
    <w:rsid w:val="00983416"/>
    <w:rsid w:val="00983CF0"/>
    <w:rsid w:val="00984308"/>
    <w:rsid w:val="00984BFE"/>
    <w:rsid w:val="009871D6"/>
    <w:rsid w:val="009876F4"/>
    <w:rsid w:val="009878F1"/>
    <w:rsid w:val="00990649"/>
    <w:rsid w:val="00990ED9"/>
    <w:rsid w:val="009911B2"/>
    <w:rsid w:val="00991730"/>
    <w:rsid w:val="009930A4"/>
    <w:rsid w:val="00993537"/>
    <w:rsid w:val="0099417D"/>
    <w:rsid w:val="00994394"/>
    <w:rsid w:val="00994986"/>
    <w:rsid w:val="00994A71"/>
    <w:rsid w:val="00995A1E"/>
    <w:rsid w:val="00995E61"/>
    <w:rsid w:val="00996760"/>
    <w:rsid w:val="009970D6"/>
    <w:rsid w:val="00997395"/>
    <w:rsid w:val="0099787B"/>
    <w:rsid w:val="009A0661"/>
    <w:rsid w:val="009A235A"/>
    <w:rsid w:val="009A253C"/>
    <w:rsid w:val="009A2B9D"/>
    <w:rsid w:val="009A2CBF"/>
    <w:rsid w:val="009A4278"/>
    <w:rsid w:val="009A46AA"/>
    <w:rsid w:val="009A4751"/>
    <w:rsid w:val="009A509C"/>
    <w:rsid w:val="009A55F7"/>
    <w:rsid w:val="009A5E3A"/>
    <w:rsid w:val="009A5FEA"/>
    <w:rsid w:val="009A696E"/>
    <w:rsid w:val="009A6A4F"/>
    <w:rsid w:val="009A6D4C"/>
    <w:rsid w:val="009A6DD0"/>
    <w:rsid w:val="009A7807"/>
    <w:rsid w:val="009B07FE"/>
    <w:rsid w:val="009B0CDC"/>
    <w:rsid w:val="009B0E97"/>
    <w:rsid w:val="009B2BCF"/>
    <w:rsid w:val="009B317B"/>
    <w:rsid w:val="009B35A9"/>
    <w:rsid w:val="009B3DF0"/>
    <w:rsid w:val="009B541B"/>
    <w:rsid w:val="009B5A83"/>
    <w:rsid w:val="009B6101"/>
    <w:rsid w:val="009B6D36"/>
    <w:rsid w:val="009B7DE5"/>
    <w:rsid w:val="009C02A2"/>
    <w:rsid w:val="009C091F"/>
    <w:rsid w:val="009C19E9"/>
    <w:rsid w:val="009C1F99"/>
    <w:rsid w:val="009C2815"/>
    <w:rsid w:val="009C39CD"/>
    <w:rsid w:val="009C607A"/>
    <w:rsid w:val="009C66E2"/>
    <w:rsid w:val="009C69D1"/>
    <w:rsid w:val="009D033E"/>
    <w:rsid w:val="009D1286"/>
    <w:rsid w:val="009D2D30"/>
    <w:rsid w:val="009D34DE"/>
    <w:rsid w:val="009D3AB0"/>
    <w:rsid w:val="009D3C22"/>
    <w:rsid w:val="009D67C8"/>
    <w:rsid w:val="009D767B"/>
    <w:rsid w:val="009E005F"/>
    <w:rsid w:val="009E108A"/>
    <w:rsid w:val="009E1FA5"/>
    <w:rsid w:val="009E2FFB"/>
    <w:rsid w:val="009E37A8"/>
    <w:rsid w:val="009E46A7"/>
    <w:rsid w:val="009E482E"/>
    <w:rsid w:val="009E570E"/>
    <w:rsid w:val="009E653A"/>
    <w:rsid w:val="009E76FC"/>
    <w:rsid w:val="009E7B24"/>
    <w:rsid w:val="009E7C5A"/>
    <w:rsid w:val="009F1022"/>
    <w:rsid w:val="009F139B"/>
    <w:rsid w:val="009F14DE"/>
    <w:rsid w:val="009F1EF4"/>
    <w:rsid w:val="009F3780"/>
    <w:rsid w:val="009F3CB5"/>
    <w:rsid w:val="009F3D00"/>
    <w:rsid w:val="009F3F12"/>
    <w:rsid w:val="009F56C8"/>
    <w:rsid w:val="009F5A38"/>
    <w:rsid w:val="009F5A40"/>
    <w:rsid w:val="009F5F1E"/>
    <w:rsid w:val="009F6E08"/>
    <w:rsid w:val="009F70C8"/>
    <w:rsid w:val="009F70E1"/>
    <w:rsid w:val="00A01EFA"/>
    <w:rsid w:val="00A021DD"/>
    <w:rsid w:val="00A03830"/>
    <w:rsid w:val="00A038DC"/>
    <w:rsid w:val="00A071EB"/>
    <w:rsid w:val="00A078CC"/>
    <w:rsid w:val="00A110A8"/>
    <w:rsid w:val="00A115B5"/>
    <w:rsid w:val="00A137D4"/>
    <w:rsid w:val="00A13A5F"/>
    <w:rsid w:val="00A13F8B"/>
    <w:rsid w:val="00A140D0"/>
    <w:rsid w:val="00A14529"/>
    <w:rsid w:val="00A147CC"/>
    <w:rsid w:val="00A14802"/>
    <w:rsid w:val="00A159F3"/>
    <w:rsid w:val="00A15C16"/>
    <w:rsid w:val="00A16897"/>
    <w:rsid w:val="00A16968"/>
    <w:rsid w:val="00A16C20"/>
    <w:rsid w:val="00A17437"/>
    <w:rsid w:val="00A1744D"/>
    <w:rsid w:val="00A1764B"/>
    <w:rsid w:val="00A2034C"/>
    <w:rsid w:val="00A208DE"/>
    <w:rsid w:val="00A232B1"/>
    <w:rsid w:val="00A23897"/>
    <w:rsid w:val="00A239A7"/>
    <w:rsid w:val="00A24CE8"/>
    <w:rsid w:val="00A25F86"/>
    <w:rsid w:val="00A27727"/>
    <w:rsid w:val="00A30708"/>
    <w:rsid w:val="00A30779"/>
    <w:rsid w:val="00A32B71"/>
    <w:rsid w:val="00A33260"/>
    <w:rsid w:val="00A33268"/>
    <w:rsid w:val="00A33A23"/>
    <w:rsid w:val="00A3449E"/>
    <w:rsid w:val="00A34FF4"/>
    <w:rsid w:val="00A359CE"/>
    <w:rsid w:val="00A35B49"/>
    <w:rsid w:val="00A36146"/>
    <w:rsid w:val="00A36194"/>
    <w:rsid w:val="00A37AC9"/>
    <w:rsid w:val="00A40724"/>
    <w:rsid w:val="00A40999"/>
    <w:rsid w:val="00A4325E"/>
    <w:rsid w:val="00A44F52"/>
    <w:rsid w:val="00A45205"/>
    <w:rsid w:val="00A4557D"/>
    <w:rsid w:val="00A456D4"/>
    <w:rsid w:val="00A45D5B"/>
    <w:rsid w:val="00A4607E"/>
    <w:rsid w:val="00A47B82"/>
    <w:rsid w:val="00A52239"/>
    <w:rsid w:val="00A53989"/>
    <w:rsid w:val="00A546D7"/>
    <w:rsid w:val="00A54C3A"/>
    <w:rsid w:val="00A54D4B"/>
    <w:rsid w:val="00A54E82"/>
    <w:rsid w:val="00A56BE6"/>
    <w:rsid w:val="00A57346"/>
    <w:rsid w:val="00A57FF5"/>
    <w:rsid w:val="00A6129B"/>
    <w:rsid w:val="00A6157C"/>
    <w:rsid w:val="00A6236A"/>
    <w:rsid w:val="00A62399"/>
    <w:rsid w:val="00A62CDB"/>
    <w:rsid w:val="00A62D23"/>
    <w:rsid w:val="00A6472A"/>
    <w:rsid w:val="00A65150"/>
    <w:rsid w:val="00A65492"/>
    <w:rsid w:val="00A65DF2"/>
    <w:rsid w:val="00A6603A"/>
    <w:rsid w:val="00A66253"/>
    <w:rsid w:val="00A66C46"/>
    <w:rsid w:val="00A6709F"/>
    <w:rsid w:val="00A67BB3"/>
    <w:rsid w:val="00A70793"/>
    <w:rsid w:val="00A70E17"/>
    <w:rsid w:val="00A71A8F"/>
    <w:rsid w:val="00A71FFA"/>
    <w:rsid w:val="00A72BB3"/>
    <w:rsid w:val="00A7376C"/>
    <w:rsid w:val="00A759F2"/>
    <w:rsid w:val="00A75BED"/>
    <w:rsid w:val="00A76EBB"/>
    <w:rsid w:val="00A76FDF"/>
    <w:rsid w:val="00A77324"/>
    <w:rsid w:val="00A806AA"/>
    <w:rsid w:val="00A80B22"/>
    <w:rsid w:val="00A8137B"/>
    <w:rsid w:val="00A82FBD"/>
    <w:rsid w:val="00A84CE1"/>
    <w:rsid w:val="00A85FE4"/>
    <w:rsid w:val="00A862E6"/>
    <w:rsid w:val="00A91F81"/>
    <w:rsid w:val="00A94B2A"/>
    <w:rsid w:val="00A953B3"/>
    <w:rsid w:val="00A9628E"/>
    <w:rsid w:val="00A96ADF"/>
    <w:rsid w:val="00A96EC6"/>
    <w:rsid w:val="00AA28A9"/>
    <w:rsid w:val="00AA2AD2"/>
    <w:rsid w:val="00AA2B03"/>
    <w:rsid w:val="00AA36E7"/>
    <w:rsid w:val="00AA3E1C"/>
    <w:rsid w:val="00AA4B48"/>
    <w:rsid w:val="00AA67F6"/>
    <w:rsid w:val="00AA6C77"/>
    <w:rsid w:val="00AA743A"/>
    <w:rsid w:val="00AA7663"/>
    <w:rsid w:val="00AB0F3F"/>
    <w:rsid w:val="00AB20D1"/>
    <w:rsid w:val="00AB2C57"/>
    <w:rsid w:val="00AB2DC4"/>
    <w:rsid w:val="00AB34CD"/>
    <w:rsid w:val="00AB3AC9"/>
    <w:rsid w:val="00AB4D3C"/>
    <w:rsid w:val="00AB4E2C"/>
    <w:rsid w:val="00AB642C"/>
    <w:rsid w:val="00AB6B10"/>
    <w:rsid w:val="00AB72A6"/>
    <w:rsid w:val="00AC1589"/>
    <w:rsid w:val="00AC1746"/>
    <w:rsid w:val="00AC2FD6"/>
    <w:rsid w:val="00AC3157"/>
    <w:rsid w:val="00AC5564"/>
    <w:rsid w:val="00AC6469"/>
    <w:rsid w:val="00AC7080"/>
    <w:rsid w:val="00AC7ED9"/>
    <w:rsid w:val="00AD029C"/>
    <w:rsid w:val="00AD24AA"/>
    <w:rsid w:val="00AD33AC"/>
    <w:rsid w:val="00AD3704"/>
    <w:rsid w:val="00AD3C94"/>
    <w:rsid w:val="00AD4238"/>
    <w:rsid w:val="00AD425E"/>
    <w:rsid w:val="00AD4731"/>
    <w:rsid w:val="00AD5CBA"/>
    <w:rsid w:val="00AD5E18"/>
    <w:rsid w:val="00AD5F39"/>
    <w:rsid w:val="00AD61FB"/>
    <w:rsid w:val="00AD6C26"/>
    <w:rsid w:val="00AD7141"/>
    <w:rsid w:val="00AD7714"/>
    <w:rsid w:val="00AE00A0"/>
    <w:rsid w:val="00AE01DA"/>
    <w:rsid w:val="00AE03DB"/>
    <w:rsid w:val="00AE0575"/>
    <w:rsid w:val="00AE0C6A"/>
    <w:rsid w:val="00AE0E9F"/>
    <w:rsid w:val="00AE0F7D"/>
    <w:rsid w:val="00AE1B27"/>
    <w:rsid w:val="00AE1E51"/>
    <w:rsid w:val="00AE3B4B"/>
    <w:rsid w:val="00AE3CE8"/>
    <w:rsid w:val="00AE3F7E"/>
    <w:rsid w:val="00AE4047"/>
    <w:rsid w:val="00AE4626"/>
    <w:rsid w:val="00AE5174"/>
    <w:rsid w:val="00AE6061"/>
    <w:rsid w:val="00AE64FB"/>
    <w:rsid w:val="00AE7DA5"/>
    <w:rsid w:val="00AF0259"/>
    <w:rsid w:val="00AF1569"/>
    <w:rsid w:val="00AF16D1"/>
    <w:rsid w:val="00AF18A6"/>
    <w:rsid w:val="00AF1DCA"/>
    <w:rsid w:val="00AF2421"/>
    <w:rsid w:val="00AF3847"/>
    <w:rsid w:val="00AF45D6"/>
    <w:rsid w:val="00AF565B"/>
    <w:rsid w:val="00AF5DC5"/>
    <w:rsid w:val="00AF6050"/>
    <w:rsid w:val="00AF6558"/>
    <w:rsid w:val="00AF6633"/>
    <w:rsid w:val="00AF6968"/>
    <w:rsid w:val="00AF71B9"/>
    <w:rsid w:val="00AF769C"/>
    <w:rsid w:val="00AF775E"/>
    <w:rsid w:val="00B01D64"/>
    <w:rsid w:val="00B01DF6"/>
    <w:rsid w:val="00B01FEB"/>
    <w:rsid w:val="00B027D8"/>
    <w:rsid w:val="00B02A82"/>
    <w:rsid w:val="00B02C41"/>
    <w:rsid w:val="00B02D0B"/>
    <w:rsid w:val="00B030D9"/>
    <w:rsid w:val="00B047D0"/>
    <w:rsid w:val="00B05E1B"/>
    <w:rsid w:val="00B05F46"/>
    <w:rsid w:val="00B06039"/>
    <w:rsid w:val="00B06065"/>
    <w:rsid w:val="00B06325"/>
    <w:rsid w:val="00B0696C"/>
    <w:rsid w:val="00B07ABE"/>
    <w:rsid w:val="00B07B54"/>
    <w:rsid w:val="00B10269"/>
    <w:rsid w:val="00B10808"/>
    <w:rsid w:val="00B10DA5"/>
    <w:rsid w:val="00B10EA8"/>
    <w:rsid w:val="00B1148C"/>
    <w:rsid w:val="00B1189F"/>
    <w:rsid w:val="00B11ABD"/>
    <w:rsid w:val="00B11E91"/>
    <w:rsid w:val="00B12696"/>
    <w:rsid w:val="00B12942"/>
    <w:rsid w:val="00B12AF9"/>
    <w:rsid w:val="00B1317D"/>
    <w:rsid w:val="00B13224"/>
    <w:rsid w:val="00B13D68"/>
    <w:rsid w:val="00B152D1"/>
    <w:rsid w:val="00B16098"/>
    <w:rsid w:val="00B165E8"/>
    <w:rsid w:val="00B166BE"/>
    <w:rsid w:val="00B166FE"/>
    <w:rsid w:val="00B17436"/>
    <w:rsid w:val="00B17495"/>
    <w:rsid w:val="00B20609"/>
    <w:rsid w:val="00B2117B"/>
    <w:rsid w:val="00B22D9D"/>
    <w:rsid w:val="00B22EE1"/>
    <w:rsid w:val="00B2360E"/>
    <w:rsid w:val="00B23B82"/>
    <w:rsid w:val="00B2470D"/>
    <w:rsid w:val="00B263F4"/>
    <w:rsid w:val="00B26811"/>
    <w:rsid w:val="00B26B48"/>
    <w:rsid w:val="00B27365"/>
    <w:rsid w:val="00B275BC"/>
    <w:rsid w:val="00B27CC2"/>
    <w:rsid w:val="00B30073"/>
    <w:rsid w:val="00B30988"/>
    <w:rsid w:val="00B30C1C"/>
    <w:rsid w:val="00B32519"/>
    <w:rsid w:val="00B32B16"/>
    <w:rsid w:val="00B32F2B"/>
    <w:rsid w:val="00B340A6"/>
    <w:rsid w:val="00B348A6"/>
    <w:rsid w:val="00B35E05"/>
    <w:rsid w:val="00B36A62"/>
    <w:rsid w:val="00B3795B"/>
    <w:rsid w:val="00B37A94"/>
    <w:rsid w:val="00B37FC3"/>
    <w:rsid w:val="00B40C33"/>
    <w:rsid w:val="00B42436"/>
    <w:rsid w:val="00B431AA"/>
    <w:rsid w:val="00B43758"/>
    <w:rsid w:val="00B439B8"/>
    <w:rsid w:val="00B43A0B"/>
    <w:rsid w:val="00B43FAE"/>
    <w:rsid w:val="00B443C7"/>
    <w:rsid w:val="00B44B12"/>
    <w:rsid w:val="00B4536C"/>
    <w:rsid w:val="00B459BF"/>
    <w:rsid w:val="00B45FCB"/>
    <w:rsid w:val="00B4671A"/>
    <w:rsid w:val="00B47985"/>
    <w:rsid w:val="00B503A1"/>
    <w:rsid w:val="00B51E52"/>
    <w:rsid w:val="00B52DC0"/>
    <w:rsid w:val="00B53161"/>
    <w:rsid w:val="00B538E2"/>
    <w:rsid w:val="00B53C7E"/>
    <w:rsid w:val="00B555C9"/>
    <w:rsid w:val="00B55746"/>
    <w:rsid w:val="00B56556"/>
    <w:rsid w:val="00B5690A"/>
    <w:rsid w:val="00B56DC3"/>
    <w:rsid w:val="00B56FC3"/>
    <w:rsid w:val="00B571C4"/>
    <w:rsid w:val="00B60050"/>
    <w:rsid w:val="00B60211"/>
    <w:rsid w:val="00B602D8"/>
    <w:rsid w:val="00B61DEC"/>
    <w:rsid w:val="00B626D8"/>
    <w:rsid w:val="00B62B4A"/>
    <w:rsid w:val="00B62DF3"/>
    <w:rsid w:val="00B635B1"/>
    <w:rsid w:val="00B63883"/>
    <w:rsid w:val="00B63A40"/>
    <w:rsid w:val="00B646C0"/>
    <w:rsid w:val="00B64C71"/>
    <w:rsid w:val="00B66378"/>
    <w:rsid w:val="00B6679E"/>
    <w:rsid w:val="00B67B9B"/>
    <w:rsid w:val="00B70305"/>
    <w:rsid w:val="00B70D38"/>
    <w:rsid w:val="00B7400A"/>
    <w:rsid w:val="00B74474"/>
    <w:rsid w:val="00B7450A"/>
    <w:rsid w:val="00B75040"/>
    <w:rsid w:val="00B7591A"/>
    <w:rsid w:val="00B75D5F"/>
    <w:rsid w:val="00B76EF3"/>
    <w:rsid w:val="00B808C2"/>
    <w:rsid w:val="00B82F49"/>
    <w:rsid w:val="00B835BF"/>
    <w:rsid w:val="00B8400B"/>
    <w:rsid w:val="00B84BB5"/>
    <w:rsid w:val="00B85F55"/>
    <w:rsid w:val="00B85FE0"/>
    <w:rsid w:val="00B86997"/>
    <w:rsid w:val="00B86BDF"/>
    <w:rsid w:val="00B872EE"/>
    <w:rsid w:val="00B9038B"/>
    <w:rsid w:val="00B9081E"/>
    <w:rsid w:val="00B908B5"/>
    <w:rsid w:val="00B911CD"/>
    <w:rsid w:val="00B92481"/>
    <w:rsid w:val="00B92715"/>
    <w:rsid w:val="00B927A7"/>
    <w:rsid w:val="00B93C3D"/>
    <w:rsid w:val="00B94890"/>
    <w:rsid w:val="00B96562"/>
    <w:rsid w:val="00BA1755"/>
    <w:rsid w:val="00BA1BDA"/>
    <w:rsid w:val="00BA26EF"/>
    <w:rsid w:val="00BA3031"/>
    <w:rsid w:val="00BA3102"/>
    <w:rsid w:val="00BA5EB0"/>
    <w:rsid w:val="00BA6083"/>
    <w:rsid w:val="00BA6200"/>
    <w:rsid w:val="00BA66E0"/>
    <w:rsid w:val="00BA7155"/>
    <w:rsid w:val="00BA7A0F"/>
    <w:rsid w:val="00BA7A27"/>
    <w:rsid w:val="00BA7D9E"/>
    <w:rsid w:val="00BB024E"/>
    <w:rsid w:val="00BB04A7"/>
    <w:rsid w:val="00BB0D72"/>
    <w:rsid w:val="00BB0E24"/>
    <w:rsid w:val="00BB1311"/>
    <w:rsid w:val="00BB2543"/>
    <w:rsid w:val="00BB2B96"/>
    <w:rsid w:val="00BB304D"/>
    <w:rsid w:val="00BB47A3"/>
    <w:rsid w:val="00BB4CA3"/>
    <w:rsid w:val="00BB655F"/>
    <w:rsid w:val="00BB6EBD"/>
    <w:rsid w:val="00BC08A8"/>
    <w:rsid w:val="00BC0989"/>
    <w:rsid w:val="00BC0D52"/>
    <w:rsid w:val="00BC178E"/>
    <w:rsid w:val="00BC2D2F"/>
    <w:rsid w:val="00BC350D"/>
    <w:rsid w:val="00BC368D"/>
    <w:rsid w:val="00BC472B"/>
    <w:rsid w:val="00BC4960"/>
    <w:rsid w:val="00BC4CD3"/>
    <w:rsid w:val="00BC65C6"/>
    <w:rsid w:val="00BC7A74"/>
    <w:rsid w:val="00BC7C13"/>
    <w:rsid w:val="00BD0122"/>
    <w:rsid w:val="00BD1901"/>
    <w:rsid w:val="00BD3498"/>
    <w:rsid w:val="00BD4A08"/>
    <w:rsid w:val="00BD4E05"/>
    <w:rsid w:val="00BD50AE"/>
    <w:rsid w:val="00BD5605"/>
    <w:rsid w:val="00BD6048"/>
    <w:rsid w:val="00BD635A"/>
    <w:rsid w:val="00BD769E"/>
    <w:rsid w:val="00BE0D7D"/>
    <w:rsid w:val="00BE0E60"/>
    <w:rsid w:val="00BE1530"/>
    <w:rsid w:val="00BE1651"/>
    <w:rsid w:val="00BE25DA"/>
    <w:rsid w:val="00BE3FD2"/>
    <w:rsid w:val="00BE622A"/>
    <w:rsid w:val="00BE6F41"/>
    <w:rsid w:val="00BE709A"/>
    <w:rsid w:val="00BE75BA"/>
    <w:rsid w:val="00BF13CF"/>
    <w:rsid w:val="00BF1ACA"/>
    <w:rsid w:val="00BF2E1C"/>
    <w:rsid w:val="00BF4283"/>
    <w:rsid w:val="00BF4E60"/>
    <w:rsid w:val="00BF58D2"/>
    <w:rsid w:val="00BF5C41"/>
    <w:rsid w:val="00BF6362"/>
    <w:rsid w:val="00BF6481"/>
    <w:rsid w:val="00BF7810"/>
    <w:rsid w:val="00C0031E"/>
    <w:rsid w:val="00C011B4"/>
    <w:rsid w:val="00C0474E"/>
    <w:rsid w:val="00C05AE8"/>
    <w:rsid w:val="00C0626D"/>
    <w:rsid w:val="00C10154"/>
    <w:rsid w:val="00C10551"/>
    <w:rsid w:val="00C119D5"/>
    <w:rsid w:val="00C11B2D"/>
    <w:rsid w:val="00C122E3"/>
    <w:rsid w:val="00C1259C"/>
    <w:rsid w:val="00C12F5A"/>
    <w:rsid w:val="00C13C73"/>
    <w:rsid w:val="00C13F3C"/>
    <w:rsid w:val="00C1409E"/>
    <w:rsid w:val="00C14A96"/>
    <w:rsid w:val="00C14C67"/>
    <w:rsid w:val="00C14E32"/>
    <w:rsid w:val="00C15563"/>
    <w:rsid w:val="00C15CF7"/>
    <w:rsid w:val="00C1706F"/>
    <w:rsid w:val="00C175D7"/>
    <w:rsid w:val="00C17EF8"/>
    <w:rsid w:val="00C20407"/>
    <w:rsid w:val="00C2081A"/>
    <w:rsid w:val="00C20B3C"/>
    <w:rsid w:val="00C2216A"/>
    <w:rsid w:val="00C24220"/>
    <w:rsid w:val="00C24696"/>
    <w:rsid w:val="00C24BE8"/>
    <w:rsid w:val="00C256DC"/>
    <w:rsid w:val="00C26518"/>
    <w:rsid w:val="00C27158"/>
    <w:rsid w:val="00C302A9"/>
    <w:rsid w:val="00C302C3"/>
    <w:rsid w:val="00C3056F"/>
    <w:rsid w:val="00C306BA"/>
    <w:rsid w:val="00C32E31"/>
    <w:rsid w:val="00C33C67"/>
    <w:rsid w:val="00C340C9"/>
    <w:rsid w:val="00C34DDB"/>
    <w:rsid w:val="00C35C34"/>
    <w:rsid w:val="00C35C7F"/>
    <w:rsid w:val="00C362A6"/>
    <w:rsid w:val="00C36DCB"/>
    <w:rsid w:val="00C3705D"/>
    <w:rsid w:val="00C37132"/>
    <w:rsid w:val="00C37AF5"/>
    <w:rsid w:val="00C410C6"/>
    <w:rsid w:val="00C41637"/>
    <w:rsid w:val="00C41FD8"/>
    <w:rsid w:val="00C423C1"/>
    <w:rsid w:val="00C4306D"/>
    <w:rsid w:val="00C43130"/>
    <w:rsid w:val="00C43882"/>
    <w:rsid w:val="00C451A1"/>
    <w:rsid w:val="00C4530E"/>
    <w:rsid w:val="00C45EC8"/>
    <w:rsid w:val="00C46595"/>
    <w:rsid w:val="00C46A8E"/>
    <w:rsid w:val="00C4746A"/>
    <w:rsid w:val="00C47F81"/>
    <w:rsid w:val="00C50304"/>
    <w:rsid w:val="00C50DB0"/>
    <w:rsid w:val="00C511FA"/>
    <w:rsid w:val="00C51240"/>
    <w:rsid w:val="00C51B9C"/>
    <w:rsid w:val="00C51BC9"/>
    <w:rsid w:val="00C52A29"/>
    <w:rsid w:val="00C52AA0"/>
    <w:rsid w:val="00C52C37"/>
    <w:rsid w:val="00C5353D"/>
    <w:rsid w:val="00C53E41"/>
    <w:rsid w:val="00C54070"/>
    <w:rsid w:val="00C547FE"/>
    <w:rsid w:val="00C548BB"/>
    <w:rsid w:val="00C5634D"/>
    <w:rsid w:val="00C56811"/>
    <w:rsid w:val="00C56E7E"/>
    <w:rsid w:val="00C56EB6"/>
    <w:rsid w:val="00C626EE"/>
    <w:rsid w:val="00C63321"/>
    <w:rsid w:val="00C64957"/>
    <w:rsid w:val="00C649B3"/>
    <w:rsid w:val="00C64FD9"/>
    <w:rsid w:val="00C66918"/>
    <w:rsid w:val="00C679B8"/>
    <w:rsid w:val="00C67D42"/>
    <w:rsid w:val="00C67FA9"/>
    <w:rsid w:val="00C70251"/>
    <w:rsid w:val="00C70A53"/>
    <w:rsid w:val="00C71182"/>
    <w:rsid w:val="00C719C9"/>
    <w:rsid w:val="00C719EE"/>
    <w:rsid w:val="00C71E24"/>
    <w:rsid w:val="00C71F1E"/>
    <w:rsid w:val="00C7362E"/>
    <w:rsid w:val="00C73A5D"/>
    <w:rsid w:val="00C73B4A"/>
    <w:rsid w:val="00C73F78"/>
    <w:rsid w:val="00C7439A"/>
    <w:rsid w:val="00C7505B"/>
    <w:rsid w:val="00C75384"/>
    <w:rsid w:val="00C7543A"/>
    <w:rsid w:val="00C76552"/>
    <w:rsid w:val="00C7670D"/>
    <w:rsid w:val="00C768CA"/>
    <w:rsid w:val="00C768F5"/>
    <w:rsid w:val="00C771BA"/>
    <w:rsid w:val="00C77945"/>
    <w:rsid w:val="00C80372"/>
    <w:rsid w:val="00C80F47"/>
    <w:rsid w:val="00C81507"/>
    <w:rsid w:val="00C8187F"/>
    <w:rsid w:val="00C828B6"/>
    <w:rsid w:val="00C83074"/>
    <w:rsid w:val="00C834C6"/>
    <w:rsid w:val="00C84EAE"/>
    <w:rsid w:val="00C8636D"/>
    <w:rsid w:val="00C86DA8"/>
    <w:rsid w:val="00C875D1"/>
    <w:rsid w:val="00C87A04"/>
    <w:rsid w:val="00C87AD2"/>
    <w:rsid w:val="00C90545"/>
    <w:rsid w:val="00C9213D"/>
    <w:rsid w:val="00C92172"/>
    <w:rsid w:val="00C92272"/>
    <w:rsid w:val="00C92513"/>
    <w:rsid w:val="00C93492"/>
    <w:rsid w:val="00C93E19"/>
    <w:rsid w:val="00C9458C"/>
    <w:rsid w:val="00C94839"/>
    <w:rsid w:val="00C95089"/>
    <w:rsid w:val="00C95577"/>
    <w:rsid w:val="00C95BB9"/>
    <w:rsid w:val="00C95FE8"/>
    <w:rsid w:val="00C966EC"/>
    <w:rsid w:val="00C9674E"/>
    <w:rsid w:val="00CA0FC3"/>
    <w:rsid w:val="00CA1825"/>
    <w:rsid w:val="00CA1C32"/>
    <w:rsid w:val="00CA2014"/>
    <w:rsid w:val="00CA24D2"/>
    <w:rsid w:val="00CA2BD7"/>
    <w:rsid w:val="00CA338F"/>
    <w:rsid w:val="00CA3651"/>
    <w:rsid w:val="00CA6ABE"/>
    <w:rsid w:val="00CA6D90"/>
    <w:rsid w:val="00CA78F7"/>
    <w:rsid w:val="00CB0674"/>
    <w:rsid w:val="00CB086C"/>
    <w:rsid w:val="00CB1BBE"/>
    <w:rsid w:val="00CB257C"/>
    <w:rsid w:val="00CB38B6"/>
    <w:rsid w:val="00CB414F"/>
    <w:rsid w:val="00CB4A7C"/>
    <w:rsid w:val="00CB7E05"/>
    <w:rsid w:val="00CC1016"/>
    <w:rsid w:val="00CC1505"/>
    <w:rsid w:val="00CC17B7"/>
    <w:rsid w:val="00CC1955"/>
    <w:rsid w:val="00CC225F"/>
    <w:rsid w:val="00CC2355"/>
    <w:rsid w:val="00CC2613"/>
    <w:rsid w:val="00CC2B4B"/>
    <w:rsid w:val="00CC2FD6"/>
    <w:rsid w:val="00CC569F"/>
    <w:rsid w:val="00CC590A"/>
    <w:rsid w:val="00CC5D7E"/>
    <w:rsid w:val="00CC7179"/>
    <w:rsid w:val="00CC7373"/>
    <w:rsid w:val="00CD0667"/>
    <w:rsid w:val="00CD0A5C"/>
    <w:rsid w:val="00CD0D04"/>
    <w:rsid w:val="00CD1EE1"/>
    <w:rsid w:val="00CD37B2"/>
    <w:rsid w:val="00CD3C48"/>
    <w:rsid w:val="00CD3C61"/>
    <w:rsid w:val="00CD57B5"/>
    <w:rsid w:val="00CD6A53"/>
    <w:rsid w:val="00CD6F56"/>
    <w:rsid w:val="00CD70BC"/>
    <w:rsid w:val="00CE0020"/>
    <w:rsid w:val="00CE0531"/>
    <w:rsid w:val="00CE0D70"/>
    <w:rsid w:val="00CE0E36"/>
    <w:rsid w:val="00CE133C"/>
    <w:rsid w:val="00CE1C9A"/>
    <w:rsid w:val="00CE25DA"/>
    <w:rsid w:val="00CE4C64"/>
    <w:rsid w:val="00CE4F13"/>
    <w:rsid w:val="00CE5145"/>
    <w:rsid w:val="00CE5338"/>
    <w:rsid w:val="00CE5517"/>
    <w:rsid w:val="00CE59FB"/>
    <w:rsid w:val="00CE6879"/>
    <w:rsid w:val="00CE72D8"/>
    <w:rsid w:val="00CE7813"/>
    <w:rsid w:val="00CF01A9"/>
    <w:rsid w:val="00CF01FB"/>
    <w:rsid w:val="00CF0292"/>
    <w:rsid w:val="00CF09A2"/>
    <w:rsid w:val="00CF1355"/>
    <w:rsid w:val="00CF1E52"/>
    <w:rsid w:val="00CF2A7E"/>
    <w:rsid w:val="00CF3BB9"/>
    <w:rsid w:val="00CF4971"/>
    <w:rsid w:val="00CF58A6"/>
    <w:rsid w:val="00CF5A8E"/>
    <w:rsid w:val="00CF633B"/>
    <w:rsid w:val="00CF69F8"/>
    <w:rsid w:val="00CF6D1F"/>
    <w:rsid w:val="00CF708C"/>
    <w:rsid w:val="00CF721D"/>
    <w:rsid w:val="00CF73BC"/>
    <w:rsid w:val="00CF78A9"/>
    <w:rsid w:val="00D00A0E"/>
    <w:rsid w:val="00D01F7E"/>
    <w:rsid w:val="00D027C4"/>
    <w:rsid w:val="00D030BA"/>
    <w:rsid w:val="00D03994"/>
    <w:rsid w:val="00D04E5C"/>
    <w:rsid w:val="00D050DE"/>
    <w:rsid w:val="00D05981"/>
    <w:rsid w:val="00D0646D"/>
    <w:rsid w:val="00D07F7C"/>
    <w:rsid w:val="00D106C3"/>
    <w:rsid w:val="00D10883"/>
    <w:rsid w:val="00D10A60"/>
    <w:rsid w:val="00D10C7B"/>
    <w:rsid w:val="00D10E69"/>
    <w:rsid w:val="00D11D73"/>
    <w:rsid w:val="00D1206F"/>
    <w:rsid w:val="00D12180"/>
    <w:rsid w:val="00D13A6E"/>
    <w:rsid w:val="00D155D6"/>
    <w:rsid w:val="00D158B7"/>
    <w:rsid w:val="00D163D9"/>
    <w:rsid w:val="00D16728"/>
    <w:rsid w:val="00D16849"/>
    <w:rsid w:val="00D177AE"/>
    <w:rsid w:val="00D21C80"/>
    <w:rsid w:val="00D223B7"/>
    <w:rsid w:val="00D226D3"/>
    <w:rsid w:val="00D2286D"/>
    <w:rsid w:val="00D22AC3"/>
    <w:rsid w:val="00D22C51"/>
    <w:rsid w:val="00D232D7"/>
    <w:rsid w:val="00D23767"/>
    <w:rsid w:val="00D24106"/>
    <w:rsid w:val="00D2459F"/>
    <w:rsid w:val="00D24DE3"/>
    <w:rsid w:val="00D2564E"/>
    <w:rsid w:val="00D25974"/>
    <w:rsid w:val="00D25A3A"/>
    <w:rsid w:val="00D26897"/>
    <w:rsid w:val="00D27B78"/>
    <w:rsid w:val="00D27C01"/>
    <w:rsid w:val="00D27F96"/>
    <w:rsid w:val="00D319F7"/>
    <w:rsid w:val="00D31DCD"/>
    <w:rsid w:val="00D32AB8"/>
    <w:rsid w:val="00D32DC8"/>
    <w:rsid w:val="00D32DE4"/>
    <w:rsid w:val="00D33DCE"/>
    <w:rsid w:val="00D3405E"/>
    <w:rsid w:val="00D341C8"/>
    <w:rsid w:val="00D3484F"/>
    <w:rsid w:val="00D34DD3"/>
    <w:rsid w:val="00D34F67"/>
    <w:rsid w:val="00D35055"/>
    <w:rsid w:val="00D35061"/>
    <w:rsid w:val="00D37BDA"/>
    <w:rsid w:val="00D40DF2"/>
    <w:rsid w:val="00D40FD1"/>
    <w:rsid w:val="00D4126B"/>
    <w:rsid w:val="00D4389E"/>
    <w:rsid w:val="00D43A62"/>
    <w:rsid w:val="00D43D40"/>
    <w:rsid w:val="00D452A9"/>
    <w:rsid w:val="00D456E9"/>
    <w:rsid w:val="00D45A9D"/>
    <w:rsid w:val="00D467F2"/>
    <w:rsid w:val="00D468E3"/>
    <w:rsid w:val="00D4693C"/>
    <w:rsid w:val="00D46B56"/>
    <w:rsid w:val="00D46F0F"/>
    <w:rsid w:val="00D47C54"/>
    <w:rsid w:val="00D504AA"/>
    <w:rsid w:val="00D50B58"/>
    <w:rsid w:val="00D50BAA"/>
    <w:rsid w:val="00D515B1"/>
    <w:rsid w:val="00D51803"/>
    <w:rsid w:val="00D520EE"/>
    <w:rsid w:val="00D52598"/>
    <w:rsid w:val="00D526D2"/>
    <w:rsid w:val="00D54531"/>
    <w:rsid w:val="00D54537"/>
    <w:rsid w:val="00D54BC2"/>
    <w:rsid w:val="00D55091"/>
    <w:rsid w:val="00D554F9"/>
    <w:rsid w:val="00D55978"/>
    <w:rsid w:val="00D602A2"/>
    <w:rsid w:val="00D608E4"/>
    <w:rsid w:val="00D616C4"/>
    <w:rsid w:val="00D62C47"/>
    <w:rsid w:val="00D62E86"/>
    <w:rsid w:val="00D6386F"/>
    <w:rsid w:val="00D63A6A"/>
    <w:rsid w:val="00D65528"/>
    <w:rsid w:val="00D65F69"/>
    <w:rsid w:val="00D6625E"/>
    <w:rsid w:val="00D66C28"/>
    <w:rsid w:val="00D670A9"/>
    <w:rsid w:val="00D673E3"/>
    <w:rsid w:val="00D67714"/>
    <w:rsid w:val="00D67BF0"/>
    <w:rsid w:val="00D67E89"/>
    <w:rsid w:val="00D7008E"/>
    <w:rsid w:val="00D700A5"/>
    <w:rsid w:val="00D71580"/>
    <w:rsid w:val="00D7177F"/>
    <w:rsid w:val="00D73705"/>
    <w:rsid w:val="00D74F8A"/>
    <w:rsid w:val="00D750B0"/>
    <w:rsid w:val="00D75CB2"/>
    <w:rsid w:val="00D818C9"/>
    <w:rsid w:val="00D829A6"/>
    <w:rsid w:val="00D831D4"/>
    <w:rsid w:val="00D8355C"/>
    <w:rsid w:val="00D83800"/>
    <w:rsid w:val="00D83CE0"/>
    <w:rsid w:val="00D8402E"/>
    <w:rsid w:val="00D84A80"/>
    <w:rsid w:val="00D851B4"/>
    <w:rsid w:val="00D857CE"/>
    <w:rsid w:val="00D85F54"/>
    <w:rsid w:val="00D86421"/>
    <w:rsid w:val="00D869BD"/>
    <w:rsid w:val="00D87878"/>
    <w:rsid w:val="00D9004C"/>
    <w:rsid w:val="00D908FF"/>
    <w:rsid w:val="00D913E7"/>
    <w:rsid w:val="00D921FE"/>
    <w:rsid w:val="00D93890"/>
    <w:rsid w:val="00D93C02"/>
    <w:rsid w:val="00D94489"/>
    <w:rsid w:val="00D94F42"/>
    <w:rsid w:val="00D95879"/>
    <w:rsid w:val="00D96048"/>
    <w:rsid w:val="00D96975"/>
    <w:rsid w:val="00D96E76"/>
    <w:rsid w:val="00D971B8"/>
    <w:rsid w:val="00D975DC"/>
    <w:rsid w:val="00D97987"/>
    <w:rsid w:val="00D979F9"/>
    <w:rsid w:val="00D97D42"/>
    <w:rsid w:val="00D97E92"/>
    <w:rsid w:val="00DA1B20"/>
    <w:rsid w:val="00DA240D"/>
    <w:rsid w:val="00DA2C37"/>
    <w:rsid w:val="00DA3243"/>
    <w:rsid w:val="00DA3635"/>
    <w:rsid w:val="00DA4D28"/>
    <w:rsid w:val="00DA564E"/>
    <w:rsid w:val="00DA5B3A"/>
    <w:rsid w:val="00DA6228"/>
    <w:rsid w:val="00DA67F0"/>
    <w:rsid w:val="00DA7712"/>
    <w:rsid w:val="00DB1CA7"/>
    <w:rsid w:val="00DB243B"/>
    <w:rsid w:val="00DB2599"/>
    <w:rsid w:val="00DB27A5"/>
    <w:rsid w:val="00DB2972"/>
    <w:rsid w:val="00DB5441"/>
    <w:rsid w:val="00DB5BF0"/>
    <w:rsid w:val="00DB6443"/>
    <w:rsid w:val="00DB6596"/>
    <w:rsid w:val="00DB7C42"/>
    <w:rsid w:val="00DB7E1D"/>
    <w:rsid w:val="00DC0D13"/>
    <w:rsid w:val="00DC1120"/>
    <w:rsid w:val="00DC28D9"/>
    <w:rsid w:val="00DC2D9D"/>
    <w:rsid w:val="00DC3AC8"/>
    <w:rsid w:val="00DC3CD5"/>
    <w:rsid w:val="00DC3CD7"/>
    <w:rsid w:val="00DC3DB3"/>
    <w:rsid w:val="00DC4153"/>
    <w:rsid w:val="00DC45B3"/>
    <w:rsid w:val="00DC4995"/>
    <w:rsid w:val="00DC4D44"/>
    <w:rsid w:val="00DC77FE"/>
    <w:rsid w:val="00DC7960"/>
    <w:rsid w:val="00DD065E"/>
    <w:rsid w:val="00DD1874"/>
    <w:rsid w:val="00DD2122"/>
    <w:rsid w:val="00DD24A9"/>
    <w:rsid w:val="00DD4D47"/>
    <w:rsid w:val="00DD5AFB"/>
    <w:rsid w:val="00DD62FE"/>
    <w:rsid w:val="00DD66B8"/>
    <w:rsid w:val="00DD693C"/>
    <w:rsid w:val="00DD709C"/>
    <w:rsid w:val="00DD71E1"/>
    <w:rsid w:val="00DD7257"/>
    <w:rsid w:val="00DE2B35"/>
    <w:rsid w:val="00DE2E8D"/>
    <w:rsid w:val="00DE3598"/>
    <w:rsid w:val="00DE38A9"/>
    <w:rsid w:val="00DE3902"/>
    <w:rsid w:val="00DE51FD"/>
    <w:rsid w:val="00DE64E1"/>
    <w:rsid w:val="00DE66B7"/>
    <w:rsid w:val="00DE6F52"/>
    <w:rsid w:val="00DE79DA"/>
    <w:rsid w:val="00DF0C3D"/>
    <w:rsid w:val="00DF0C55"/>
    <w:rsid w:val="00DF12E8"/>
    <w:rsid w:val="00DF1829"/>
    <w:rsid w:val="00DF1F45"/>
    <w:rsid w:val="00DF33CD"/>
    <w:rsid w:val="00DF4384"/>
    <w:rsid w:val="00DF4B38"/>
    <w:rsid w:val="00DF625B"/>
    <w:rsid w:val="00DF6AD2"/>
    <w:rsid w:val="00DF6CF0"/>
    <w:rsid w:val="00DF700D"/>
    <w:rsid w:val="00DF75D9"/>
    <w:rsid w:val="00DF78B1"/>
    <w:rsid w:val="00DF7C79"/>
    <w:rsid w:val="00E00607"/>
    <w:rsid w:val="00E00860"/>
    <w:rsid w:val="00E01904"/>
    <w:rsid w:val="00E020ED"/>
    <w:rsid w:val="00E0343D"/>
    <w:rsid w:val="00E0393C"/>
    <w:rsid w:val="00E04E4C"/>
    <w:rsid w:val="00E0636F"/>
    <w:rsid w:val="00E071FE"/>
    <w:rsid w:val="00E07CE1"/>
    <w:rsid w:val="00E11271"/>
    <w:rsid w:val="00E12DA7"/>
    <w:rsid w:val="00E13B21"/>
    <w:rsid w:val="00E13D0A"/>
    <w:rsid w:val="00E141D2"/>
    <w:rsid w:val="00E14EA9"/>
    <w:rsid w:val="00E153B8"/>
    <w:rsid w:val="00E15796"/>
    <w:rsid w:val="00E15D07"/>
    <w:rsid w:val="00E160DB"/>
    <w:rsid w:val="00E168DE"/>
    <w:rsid w:val="00E170E9"/>
    <w:rsid w:val="00E17A2A"/>
    <w:rsid w:val="00E20C83"/>
    <w:rsid w:val="00E21409"/>
    <w:rsid w:val="00E21547"/>
    <w:rsid w:val="00E21CA2"/>
    <w:rsid w:val="00E22556"/>
    <w:rsid w:val="00E2274E"/>
    <w:rsid w:val="00E24D4E"/>
    <w:rsid w:val="00E24FC6"/>
    <w:rsid w:val="00E261C2"/>
    <w:rsid w:val="00E2625C"/>
    <w:rsid w:val="00E2634C"/>
    <w:rsid w:val="00E26DFD"/>
    <w:rsid w:val="00E26E2C"/>
    <w:rsid w:val="00E27035"/>
    <w:rsid w:val="00E3013A"/>
    <w:rsid w:val="00E3029A"/>
    <w:rsid w:val="00E3052E"/>
    <w:rsid w:val="00E31F36"/>
    <w:rsid w:val="00E32202"/>
    <w:rsid w:val="00E364DC"/>
    <w:rsid w:val="00E4005F"/>
    <w:rsid w:val="00E401B5"/>
    <w:rsid w:val="00E41879"/>
    <w:rsid w:val="00E41BE2"/>
    <w:rsid w:val="00E41FE5"/>
    <w:rsid w:val="00E42EDE"/>
    <w:rsid w:val="00E43C74"/>
    <w:rsid w:val="00E4453A"/>
    <w:rsid w:val="00E44C28"/>
    <w:rsid w:val="00E45255"/>
    <w:rsid w:val="00E4534E"/>
    <w:rsid w:val="00E46018"/>
    <w:rsid w:val="00E46278"/>
    <w:rsid w:val="00E474B2"/>
    <w:rsid w:val="00E511C0"/>
    <w:rsid w:val="00E52267"/>
    <w:rsid w:val="00E5266D"/>
    <w:rsid w:val="00E52D19"/>
    <w:rsid w:val="00E53F92"/>
    <w:rsid w:val="00E54E7D"/>
    <w:rsid w:val="00E551ED"/>
    <w:rsid w:val="00E5588D"/>
    <w:rsid w:val="00E55960"/>
    <w:rsid w:val="00E55A50"/>
    <w:rsid w:val="00E55B9E"/>
    <w:rsid w:val="00E55D5D"/>
    <w:rsid w:val="00E55F74"/>
    <w:rsid w:val="00E56792"/>
    <w:rsid w:val="00E57717"/>
    <w:rsid w:val="00E579F2"/>
    <w:rsid w:val="00E57B27"/>
    <w:rsid w:val="00E60594"/>
    <w:rsid w:val="00E621CE"/>
    <w:rsid w:val="00E62754"/>
    <w:rsid w:val="00E63A6A"/>
    <w:rsid w:val="00E63DF4"/>
    <w:rsid w:val="00E64AB7"/>
    <w:rsid w:val="00E64FE6"/>
    <w:rsid w:val="00E6508F"/>
    <w:rsid w:val="00E651BE"/>
    <w:rsid w:val="00E66292"/>
    <w:rsid w:val="00E66D1D"/>
    <w:rsid w:val="00E673EE"/>
    <w:rsid w:val="00E702B7"/>
    <w:rsid w:val="00E70F1F"/>
    <w:rsid w:val="00E71361"/>
    <w:rsid w:val="00E71712"/>
    <w:rsid w:val="00E71A86"/>
    <w:rsid w:val="00E71EFE"/>
    <w:rsid w:val="00E72B24"/>
    <w:rsid w:val="00E72E01"/>
    <w:rsid w:val="00E73324"/>
    <w:rsid w:val="00E742C2"/>
    <w:rsid w:val="00E753CA"/>
    <w:rsid w:val="00E762F6"/>
    <w:rsid w:val="00E7649F"/>
    <w:rsid w:val="00E7796B"/>
    <w:rsid w:val="00E77EC0"/>
    <w:rsid w:val="00E80B28"/>
    <w:rsid w:val="00E814CC"/>
    <w:rsid w:val="00E81D61"/>
    <w:rsid w:val="00E821A9"/>
    <w:rsid w:val="00E823A4"/>
    <w:rsid w:val="00E82699"/>
    <w:rsid w:val="00E82E52"/>
    <w:rsid w:val="00E835F8"/>
    <w:rsid w:val="00E83710"/>
    <w:rsid w:val="00E8536E"/>
    <w:rsid w:val="00E86664"/>
    <w:rsid w:val="00E8767B"/>
    <w:rsid w:val="00E87790"/>
    <w:rsid w:val="00E913D9"/>
    <w:rsid w:val="00E91986"/>
    <w:rsid w:val="00E91A64"/>
    <w:rsid w:val="00E92C62"/>
    <w:rsid w:val="00E92FE5"/>
    <w:rsid w:val="00E93DAD"/>
    <w:rsid w:val="00E94602"/>
    <w:rsid w:val="00E9525F"/>
    <w:rsid w:val="00E961E4"/>
    <w:rsid w:val="00E96423"/>
    <w:rsid w:val="00E96C01"/>
    <w:rsid w:val="00E97265"/>
    <w:rsid w:val="00E9782D"/>
    <w:rsid w:val="00E97C11"/>
    <w:rsid w:val="00E97D46"/>
    <w:rsid w:val="00EA0D13"/>
    <w:rsid w:val="00EA1187"/>
    <w:rsid w:val="00EA228D"/>
    <w:rsid w:val="00EA3AC3"/>
    <w:rsid w:val="00EA43E8"/>
    <w:rsid w:val="00EA47E4"/>
    <w:rsid w:val="00EA51B0"/>
    <w:rsid w:val="00EA56A4"/>
    <w:rsid w:val="00EA591A"/>
    <w:rsid w:val="00EA6184"/>
    <w:rsid w:val="00EA63C3"/>
    <w:rsid w:val="00EA76AB"/>
    <w:rsid w:val="00EA7B52"/>
    <w:rsid w:val="00EB0509"/>
    <w:rsid w:val="00EB0FBA"/>
    <w:rsid w:val="00EB2041"/>
    <w:rsid w:val="00EB2196"/>
    <w:rsid w:val="00EB276D"/>
    <w:rsid w:val="00EB2D3B"/>
    <w:rsid w:val="00EB2E26"/>
    <w:rsid w:val="00EB2F23"/>
    <w:rsid w:val="00EB33FC"/>
    <w:rsid w:val="00EB3D5A"/>
    <w:rsid w:val="00EB3E41"/>
    <w:rsid w:val="00EB4492"/>
    <w:rsid w:val="00EB44FA"/>
    <w:rsid w:val="00EB4D64"/>
    <w:rsid w:val="00EB58B0"/>
    <w:rsid w:val="00EB5A21"/>
    <w:rsid w:val="00EB61D4"/>
    <w:rsid w:val="00EB74CD"/>
    <w:rsid w:val="00EB7CE7"/>
    <w:rsid w:val="00EC0840"/>
    <w:rsid w:val="00EC088F"/>
    <w:rsid w:val="00EC097E"/>
    <w:rsid w:val="00EC0B68"/>
    <w:rsid w:val="00EC1197"/>
    <w:rsid w:val="00EC1541"/>
    <w:rsid w:val="00EC3B99"/>
    <w:rsid w:val="00EC3FD1"/>
    <w:rsid w:val="00EC7612"/>
    <w:rsid w:val="00ED1289"/>
    <w:rsid w:val="00ED130F"/>
    <w:rsid w:val="00ED1B7F"/>
    <w:rsid w:val="00ED1F2D"/>
    <w:rsid w:val="00ED25DF"/>
    <w:rsid w:val="00ED3825"/>
    <w:rsid w:val="00ED457F"/>
    <w:rsid w:val="00ED5E7A"/>
    <w:rsid w:val="00ED696E"/>
    <w:rsid w:val="00ED734B"/>
    <w:rsid w:val="00ED7627"/>
    <w:rsid w:val="00ED7C33"/>
    <w:rsid w:val="00EE057B"/>
    <w:rsid w:val="00EE139B"/>
    <w:rsid w:val="00EE1460"/>
    <w:rsid w:val="00EE1C30"/>
    <w:rsid w:val="00EE2243"/>
    <w:rsid w:val="00EE36F7"/>
    <w:rsid w:val="00EE3B7B"/>
    <w:rsid w:val="00EE3E49"/>
    <w:rsid w:val="00EE3E6A"/>
    <w:rsid w:val="00EE5B02"/>
    <w:rsid w:val="00EE5B5C"/>
    <w:rsid w:val="00EE5DAD"/>
    <w:rsid w:val="00EE659A"/>
    <w:rsid w:val="00EE6864"/>
    <w:rsid w:val="00EF0081"/>
    <w:rsid w:val="00EF174F"/>
    <w:rsid w:val="00EF1FBB"/>
    <w:rsid w:val="00EF24C2"/>
    <w:rsid w:val="00EF36AB"/>
    <w:rsid w:val="00EF3E69"/>
    <w:rsid w:val="00EF4002"/>
    <w:rsid w:val="00EF449A"/>
    <w:rsid w:val="00EF4565"/>
    <w:rsid w:val="00EF4C8F"/>
    <w:rsid w:val="00EF628C"/>
    <w:rsid w:val="00EF692F"/>
    <w:rsid w:val="00EF7822"/>
    <w:rsid w:val="00EF7DB4"/>
    <w:rsid w:val="00F00442"/>
    <w:rsid w:val="00F0086F"/>
    <w:rsid w:val="00F008D8"/>
    <w:rsid w:val="00F01383"/>
    <w:rsid w:val="00F01B40"/>
    <w:rsid w:val="00F01E10"/>
    <w:rsid w:val="00F0235A"/>
    <w:rsid w:val="00F025B6"/>
    <w:rsid w:val="00F02F0D"/>
    <w:rsid w:val="00F05634"/>
    <w:rsid w:val="00F070F8"/>
    <w:rsid w:val="00F1012A"/>
    <w:rsid w:val="00F104CB"/>
    <w:rsid w:val="00F12272"/>
    <w:rsid w:val="00F12381"/>
    <w:rsid w:val="00F12D0E"/>
    <w:rsid w:val="00F13D88"/>
    <w:rsid w:val="00F142A5"/>
    <w:rsid w:val="00F1521F"/>
    <w:rsid w:val="00F153D5"/>
    <w:rsid w:val="00F153F4"/>
    <w:rsid w:val="00F17293"/>
    <w:rsid w:val="00F17B9D"/>
    <w:rsid w:val="00F20FA3"/>
    <w:rsid w:val="00F21D04"/>
    <w:rsid w:val="00F22428"/>
    <w:rsid w:val="00F22923"/>
    <w:rsid w:val="00F22E37"/>
    <w:rsid w:val="00F22ED8"/>
    <w:rsid w:val="00F244BE"/>
    <w:rsid w:val="00F2506B"/>
    <w:rsid w:val="00F25B74"/>
    <w:rsid w:val="00F25ED9"/>
    <w:rsid w:val="00F25F0E"/>
    <w:rsid w:val="00F30849"/>
    <w:rsid w:val="00F30C64"/>
    <w:rsid w:val="00F31E50"/>
    <w:rsid w:val="00F32392"/>
    <w:rsid w:val="00F32611"/>
    <w:rsid w:val="00F32D4F"/>
    <w:rsid w:val="00F3441E"/>
    <w:rsid w:val="00F34EF4"/>
    <w:rsid w:val="00F351D2"/>
    <w:rsid w:val="00F3533F"/>
    <w:rsid w:val="00F35568"/>
    <w:rsid w:val="00F355E6"/>
    <w:rsid w:val="00F35EDD"/>
    <w:rsid w:val="00F37092"/>
    <w:rsid w:val="00F40149"/>
    <w:rsid w:val="00F41781"/>
    <w:rsid w:val="00F418F3"/>
    <w:rsid w:val="00F41B12"/>
    <w:rsid w:val="00F41C1D"/>
    <w:rsid w:val="00F42058"/>
    <w:rsid w:val="00F448CF"/>
    <w:rsid w:val="00F457CF"/>
    <w:rsid w:val="00F46F46"/>
    <w:rsid w:val="00F477C1"/>
    <w:rsid w:val="00F479DD"/>
    <w:rsid w:val="00F50535"/>
    <w:rsid w:val="00F50AF2"/>
    <w:rsid w:val="00F5152D"/>
    <w:rsid w:val="00F5256F"/>
    <w:rsid w:val="00F529FD"/>
    <w:rsid w:val="00F52AAA"/>
    <w:rsid w:val="00F53FBF"/>
    <w:rsid w:val="00F546C0"/>
    <w:rsid w:val="00F54EA6"/>
    <w:rsid w:val="00F55579"/>
    <w:rsid w:val="00F55A23"/>
    <w:rsid w:val="00F56290"/>
    <w:rsid w:val="00F562C8"/>
    <w:rsid w:val="00F57EC6"/>
    <w:rsid w:val="00F57F2F"/>
    <w:rsid w:val="00F60938"/>
    <w:rsid w:val="00F6154C"/>
    <w:rsid w:val="00F62D6C"/>
    <w:rsid w:val="00F63829"/>
    <w:rsid w:val="00F63CE9"/>
    <w:rsid w:val="00F64149"/>
    <w:rsid w:val="00F64B9F"/>
    <w:rsid w:val="00F64D1E"/>
    <w:rsid w:val="00F66592"/>
    <w:rsid w:val="00F665AA"/>
    <w:rsid w:val="00F66C7C"/>
    <w:rsid w:val="00F7030A"/>
    <w:rsid w:val="00F76FEE"/>
    <w:rsid w:val="00F77249"/>
    <w:rsid w:val="00F7774E"/>
    <w:rsid w:val="00F77B4B"/>
    <w:rsid w:val="00F80418"/>
    <w:rsid w:val="00F80631"/>
    <w:rsid w:val="00F8188E"/>
    <w:rsid w:val="00F81918"/>
    <w:rsid w:val="00F81CF8"/>
    <w:rsid w:val="00F820F5"/>
    <w:rsid w:val="00F82F0E"/>
    <w:rsid w:val="00F8490D"/>
    <w:rsid w:val="00F86D14"/>
    <w:rsid w:val="00F86D34"/>
    <w:rsid w:val="00F873B1"/>
    <w:rsid w:val="00F87B47"/>
    <w:rsid w:val="00F90669"/>
    <w:rsid w:val="00F90CBA"/>
    <w:rsid w:val="00F914B6"/>
    <w:rsid w:val="00F9190B"/>
    <w:rsid w:val="00F9197F"/>
    <w:rsid w:val="00F922D1"/>
    <w:rsid w:val="00F923D1"/>
    <w:rsid w:val="00F92576"/>
    <w:rsid w:val="00F927A1"/>
    <w:rsid w:val="00F94096"/>
    <w:rsid w:val="00F94249"/>
    <w:rsid w:val="00F945D8"/>
    <w:rsid w:val="00F946A9"/>
    <w:rsid w:val="00F96D98"/>
    <w:rsid w:val="00F97989"/>
    <w:rsid w:val="00FA0C23"/>
    <w:rsid w:val="00FA13B2"/>
    <w:rsid w:val="00FA1B21"/>
    <w:rsid w:val="00FA2D6E"/>
    <w:rsid w:val="00FA30F8"/>
    <w:rsid w:val="00FA38C1"/>
    <w:rsid w:val="00FA4B33"/>
    <w:rsid w:val="00FA528D"/>
    <w:rsid w:val="00FA5318"/>
    <w:rsid w:val="00FA5EDD"/>
    <w:rsid w:val="00FA6F80"/>
    <w:rsid w:val="00FB135F"/>
    <w:rsid w:val="00FB1826"/>
    <w:rsid w:val="00FB214D"/>
    <w:rsid w:val="00FB340B"/>
    <w:rsid w:val="00FB3491"/>
    <w:rsid w:val="00FB3CFC"/>
    <w:rsid w:val="00FB4A0E"/>
    <w:rsid w:val="00FB581E"/>
    <w:rsid w:val="00FB5C5A"/>
    <w:rsid w:val="00FB65AE"/>
    <w:rsid w:val="00FB6B76"/>
    <w:rsid w:val="00FC0896"/>
    <w:rsid w:val="00FC1049"/>
    <w:rsid w:val="00FC1A22"/>
    <w:rsid w:val="00FC2ECD"/>
    <w:rsid w:val="00FC2F5B"/>
    <w:rsid w:val="00FC37DD"/>
    <w:rsid w:val="00FC396B"/>
    <w:rsid w:val="00FC3B44"/>
    <w:rsid w:val="00FC3FD8"/>
    <w:rsid w:val="00FC470B"/>
    <w:rsid w:val="00FC5036"/>
    <w:rsid w:val="00FC52C7"/>
    <w:rsid w:val="00FC52DE"/>
    <w:rsid w:val="00FC53FB"/>
    <w:rsid w:val="00FC660D"/>
    <w:rsid w:val="00FC6DB0"/>
    <w:rsid w:val="00FC7793"/>
    <w:rsid w:val="00FD0E37"/>
    <w:rsid w:val="00FD1B7E"/>
    <w:rsid w:val="00FD2AB7"/>
    <w:rsid w:val="00FD333B"/>
    <w:rsid w:val="00FD3770"/>
    <w:rsid w:val="00FD3D4B"/>
    <w:rsid w:val="00FD43A9"/>
    <w:rsid w:val="00FD43E5"/>
    <w:rsid w:val="00FD497E"/>
    <w:rsid w:val="00FD4D1C"/>
    <w:rsid w:val="00FD57DE"/>
    <w:rsid w:val="00FD6309"/>
    <w:rsid w:val="00FD6ABC"/>
    <w:rsid w:val="00FE003B"/>
    <w:rsid w:val="00FE0A98"/>
    <w:rsid w:val="00FE2F3B"/>
    <w:rsid w:val="00FE3A43"/>
    <w:rsid w:val="00FE42AC"/>
    <w:rsid w:val="00FE4409"/>
    <w:rsid w:val="00FE46EE"/>
    <w:rsid w:val="00FE4873"/>
    <w:rsid w:val="00FE4A94"/>
    <w:rsid w:val="00FE4D50"/>
    <w:rsid w:val="00FE5C00"/>
    <w:rsid w:val="00FE6015"/>
    <w:rsid w:val="00FE61C8"/>
    <w:rsid w:val="00FE7BFE"/>
    <w:rsid w:val="00FF04A9"/>
    <w:rsid w:val="00FF0DA3"/>
    <w:rsid w:val="00FF0F87"/>
    <w:rsid w:val="00FF1312"/>
    <w:rsid w:val="00FF1756"/>
    <w:rsid w:val="00FF185F"/>
    <w:rsid w:val="00FF2234"/>
    <w:rsid w:val="00FF2880"/>
    <w:rsid w:val="00FF3385"/>
    <w:rsid w:val="00FF3C33"/>
    <w:rsid w:val="00FF4DD0"/>
    <w:rsid w:val="00FF4EAE"/>
    <w:rsid w:val="00FF50A7"/>
    <w:rsid w:val="00FF6444"/>
    <w:rsid w:val="00FF6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Body Text" w:qFormat="1"/>
    <w:lsdException w:name="Hyperlink" w:uiPriority="99"/>
    <w:lsdException w:name="List Paragraph" w:qFormat="1"/>
  </w:latentStyles>
  <w:style w:type="paragraph" w:default="1" w:styleId="Normal">
    <w:name w:val="Normal"/>
    <w:qFormat/>
    <w:rsid w:val="00980579"/>
    <w:rPr>
      <w:rFonts w:ascii="Arial" w:hAnsi="Arial"/>
      <w:sz w:val="22"/>
    </w:rPr>
  </w:style>
  <w:style w:type="paragraph" w:styleId="Heading1">
    <w:name w:val="heading 1"/>
    <w:basedOn w:val="Normal"/>
    <w:next w:val="BodyText"/>
    <w:qFormat/>
    <w:rsid w:val="006637C1"/>
    <w:pPr>
      <w:keepNext/>
      <w:pageBreakBefore/>
      <w:numPr>
        <w:numId w:val="7"/>
      </w:numPr>
      <w:spacing w:before="240" w:after="60"/>
      <w:outlineLvl w:val="0"/>
    </w:pPr>
    <w:rPr>
      <w:rFonts w:ascii="Trebuchet MS" w:hAnsi="Trebuchet MS" w:cs="Arial"/>
      <w:b/>
      <w:bCs/>
      <w:color w:val="000080"/>
      <w:kern w:val="32"/>
      <w:sz w:val="36"/>
      <w:szCs w:val="36"/>
    </w:rPr>
  </w:style>
  <w:style w:type="paragraph" w:styleId="Heading2">
    <w:name w:val="heading 2"/>
    <w:basedOn w:val="Normal"/>
    <w:next w:val="BodyText"/>
    <w:qFormat/>
    <w:rsid w:val="006F4F84"/>
    <w:pPr>
      <w:keepNext/>
      <w:numPr>
        <w:ilvl w:val="1"/>
        <w:numId w:val="7"/>
      </w:numPr>
      <w:tabs>
        <w:tab w:val="left" w:pos="0"/>
      </w:tabs>
      <w:spacing w:before="240" w:after="60"/>
      <w:outlineLvl w:val="1"/>
    </w:pPr>
    <w:rPr>
      <w:rFonts w:ascii="Trebuchet MS" w:hAnsi="Trebuchet MS" w:cs="Arial"/>
      <w:b/>
      <w:bCs/>
      <w:iCs/>
      <w:sz w:val="30"/>
      <w:szCs w:val="28"/>
    </w:rPr>
  </w:style>
  <w:style w:type="paragraph" w:styleId="Heading3">
    <w:name w:val="heading 3"/>
    <w:basedOn w:val="Normal"/>
    <w:next w:val="BodyText"/>
    <w:qFormat/>
    <w:rsid w:val="006B0088"/>
    <w:pPr>
      <w:keepNext/>
      <w:numPr>
        <w:ilvl w:val="2"/>
        <w:numId w:val="7"/>
      </w:numPr>
      <w:spacing w:before="240" w:after="60"/>
      <w:outlineLvl w:val="2"/>
    </w:pPr>
    <w:rPr>
      <w:rFonts w:cs="Arial"/>
      <w:b/>
      <w:bCs/>
      <w:sz w:val="28"/>
      <w:szCs w:val="26"/>
    </w:rPr>
  </w:style>
  <w:style w:type="paragraph" w:styleId="Heading4">
    <w:name w:val="heading 4"/>
    <w:basedOn w:val="Normal"/>
    <w:next w:val="BodyText"/>
    <w:qFormat/>
    <w:rsid w:val="00CE4C64"/>
    <w:pPr>
      <w:keepNext/>
      <w:spacing w:before="120"/>
      <w:outlineLvl w:val="3"/>
    </w:pPr>
    <w:rPr>
      <w:rFonts w:cs="Arial"/>
      <w:b/>
      <w:bCs/>
      <w:sz w:val="24"/>
      <w:u w:val="single"/>
    </w:rPr>
  </w:style>
  <w:style w:type="paragraph" w:styleId="Heading5">
    <w:name w:val="heading 5"/>
    <w:basedOn w:val="BodyText"/>
    <w:next w:val="Normal"/>
    <w:qFormat/>
    <w:rsid w:val="00991730"/>
    <w:pPr>
      <w:spacing w:after="60"/>
      <w:outlineLvl w:val="4"/>
    </w:pPr>
    <w:rPr>
      <w:rFonts w:cs="Arial"/>
      <w:b/>
      <w:i/>
      <w:szCs w:val="20"/>
    </w:rPr>
  </w:style>
  <w:style w:type="paragraph" w:styleId="Heading6">
    <w:name w:val="heading 6"/>
    <w:basedOn w:val="Normal"/>
    <w:next w:val="Normal"/>
    <w:qFormat/>
    <w:rsid w:val="00B82F49"/>
    <w:pPr>
      <w:tabs>
        <w:tab w:val="num" w:pos="605"/>
      </w:tabs>
      <w:spacing w:before="240" w:after="60"/>
      <w:ind w:left="605" w:hanging="1152"/>
      <w:outlineLvl w:val="5"/>
    </w:pPr>
    <w:rPr>
      <w:b/>
      <w:bCs/>
      <w:szCs w:val="22"/>
    </w:rPr>
  </w:style>
  <w:style w:type="paragraph" w:styleId="Heading7">
    <w:name w:val="heading 7"/>
    <w:basedOn w:val="Normal"/>
    <w:next w:val="Normal"/>
    <w:qFormat/>
    <w:rsid w:val="00B82F49"/>
    <w:pPr>
      <w:tabs>
        <w:tab w:val="num" w:pos="749"/>
      </w:tabs>
      <w:spacing w:before="240" w:after="60"/>
      <w:ind w:left="749" w:hanging="1296"/>
      <w:outlineLvl w:val="6"/>
    </w:pPr>
  </w:style>
  <w:style w:type="paragraph" w:styleId="Heading8">
    <w:name w:val="heading 8"/>
    <w:basedOn w:val="Normal"/>
    <w:next w:val="Normal"/>
    <w:qFormat/>
    <w:rsid w:val="00B82F49"/>
    <w:pPr>
      <w:tabs>
        <w:tab w:val="num" w:pos="893"/>
      </w:tabs>
      <w:spacing w:before="240" w:after="60"/>
      <w:ind w:left="893" w:hanging="1440"/>
      <w:outlineLvl w:val="7"/>
    </w:pPr>
    <w:rPr>
      <w:i/>
      <w:iCs/>
    </w:rPr>
  </w:style>
  <w:style w:type="paragraph" w:styleId="Heading9">
    <w:name w:val="heading 9"/>
    <w:basedOn w:val="Normal"/>
    <w:next w:val="Normal"/>
    <w:qFormat/>
    <w:rsid w:val="00B82F49"/>
    <w:pPr>
      <w:tabs>
        <w:tab w:val="num" w:pos="1037"/>
      </w:tabs>
      <w:spacing w:before="240" w:after="60"/>
      <w:ind w:left="1037"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0154"/>
    <w:pPr>
      <w:spacing w:after="120"/>
    </w:pPr>
  </w:style>
  <w:style w:type="paragraph" w:customStyle="1" w:styleId="Bullet1">
    <w:name w:val="Bullet 1"/>
    <w:basedOn w:val="BodyText"/>
    <w:link w:val="Bullet1Char"/>
    <w:qFormat/>
    <w:rsid w:val="00B82F49"/>
    <w:pPr>
      <w:spacing w:after="60"/>
    </w:pPr>
  </w:style>
  <w:style w:type="table" w:styleId="TableGrid">
    <w:name w:val="Table Grid"/>
    <w:basedOn w:val="TableNormal"/>
    <w:uiPriority w:val="59"/>
    <w:rsid w:val="00FC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FC1A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skDescription">
    <w:name w:val="Task Description"/>
    <w:basedOn w:val="BodyText"/>
    <w:rsid w:val="00207D21"/>
    <w:pPr>
      <w:spacing w:before="60"/>
      <w:jc w:val="right"/>
    </w:pPr>
    <w:rPr>
      <w:rFonts w:ascii="Arial Black" w:hAnsi="Arial Black" w:cs="Arial"/>
      <w:sz w:val="16"/>
      <w:szCs w:val="16"/>
    </w:rPr>
  </w:style>
  <w:style w:type="paragraph" w:styleId="Header">
    <w:name w:val="header"/>
    <w:basedOn w:val="Normal"/>
    <w:rsid w:val="00226FEC"/>
    <w:pPr>
      <w:tabs>
        <w:tab w:val="center" w:pos="4320"/>
        <w:tab w:val="right" w:pos="8640"/>
      </w:tabs>
    </w:pPr>
  </w:style>
  <w:style w:type="paragraph" w:styleId="Footer">
    <w:name w:val="footer"/>
    <w:basedOn w:val="Normal"/>
    <w:rsid w:val="00226FEC"/>
    <w:pPr>
      <w:tabs>
        <w:tab w:val="center" w:pos="4320"/>
        <w:tab w:val="right" w:pos="8640"/>
      </w:tabs>
    </w:pPr>
  </w:style>
  <w:style w:type="character" w:styleId="PageNumber">
    <w:name w:val="page number"/>
    <w:basedOn w:val="DefaultParagraphFont"/>
    <w:rsid w:val="005E041F"/>
  </w:style>
  <w:style w:type="paragraph" w:styleId="BalloonText">
    <w:name w:val="Balloon Text"/>
    <w:basedOn w:val="Normal"/>
    <w:link w:val="BalloonTextChar"/>
    <w:rsid w:val="00C26518"/>
    <w:rPr>
      <w:rFonts w:ascii="Tahoma" w:hAnsi="Tahoma" w:cs="Tahoma"/>
      <w:sz w:val="16"/>
      <w:szCs w:val="16"/>
    </w:rPr>
  </w:style>
  <w:style w:type="paragraph" w:customStyle="1" w:styleId="TitlePageText">
    <w:name w:val="Title Page Text"/>
    <w:rsid w:val="005607B0"/>
    <w:pPr>
      <w:jc w:val="center"/>
    </w:pPr>
    <w:rPr>
      <w:rFonts w:ascii="Arial" w:hAnsi="Arial" w:cs="Arial"/>
      <w:b/>
      <w:sz w:val="32"/>
      <w:szCs w:val="32"/>
    </w:rPr>
  </w:style>
  <w:style w:type="paragraph" w:customStyle="1" w:styleId="BodyTextRFPText">
    <w:name w:val="Body Text (RFP Text)"/>
    <w:basedOn w:val="BodyText"/>
    <w:rsid w:val="00BE3FD2"/>
    <w:rPr>
      <w:rFonts w:ascii="Courier New" w:hAnsi="Courier New" w:cs="Courier New"/>
      <w:sz w:val="20"/>
      <w:szCs w:val="20"/>
    </w:rPr>
  </w:style>
  <w:style w:type="paragraph" w:customStyle="1" w:styleId="Bullet2">
    <w:name w:val="Bullet 2"/>
    <w:basedOn w:val="Bullet1"/>
    <w:link w:val="Bullet2Char"/>
    <w:rsid w:val="00B82F49"/>
    <w:pPr>
      <w:numPr>
        <w:numId w:val="1"/>
      </w:numPr>
      <w:tabs>
        <w:tab w:val="clear" w:pos="720"/>
        <w:tab w:val="num" w:pos="1080"/>
      </w:tabs>
      <w:ind w:left="1080"/>
    </w:pPr>
  </w:style>
  <w:style w:type="paragraph" w:customStyle="1" w:styleId="UNHeading1">
    <w:name w:val="UN Heading 1"/>
    <w:basedOn w:val="Heading1"/>
    <w:next w:val="BodyText"/>
    <w:rsid w:val="00675536"/>
    <w:pPr>
      <w:numPr>
        <w:numId w:val="0"/>
      </w:numPr>
    </w:pPr>
  </w:style>
  <w:style w:type="character" w:styleId="Hyperlink">
    <w:name w:val="Hyperlink"/>
    <w:basedOn w:val="DefaultParagraphFont"/>
    <w:uiPriority w:val="99"/>
    <w:rsid w:val="004B7C30"/>
    <w:rPr>
      <w:color w:val="0000FF"/>
      <w:u w:val="single"/>
    </w:rPr>
  </w:style>
  <w:style w:type="paragraph" w:styleId="TOC1">
    <w:name w:val="toc 1"/>
    <w:basedOn w:val="Normal"/>
    <w:next w:val="Normal"/>
    <w:autoRedefine/>
    <w:uiPriority w:val="39"/>
    <w:rsid w:val="003E5730"/>
    <w:pPr>
      <w:tabs>
        <w:tab w:val="left" w:pos="720"/>
        <w:tab w:val="right" w:leader="dot" w:pos="8630"/>
      </w:tabs>
      <w:spacing w:before="120" w:after="60"/>
      <w:ind w:left="720" w:hanging="720"/>
    </w:pPr>
    <w:rPr>
      <w:rFonts w:ascii="Century Gothic" w:hAnsi="Century Gothic"/>
      <w:b/>
      <w:noProof/>
      <w:color w:val="000080"/>
    </w:rPr>
  </w:style>
  <w:style w:type="paragraph" w:styleId="TOC2">
    <w:name w:val="toc 2"/>
    <w:basedOn w:val="Normal"/>
    <w:next w:val="Normal"/>
    <w:autoRedefine/>
    <w:uiPriority w:val="39"/>
    <w:rsid w:val="003421CA"/>
    <w:pPr>
      <w:tabs>
        <w:tab w:val="left" w:pos="1200"/>
        <w:tab w:val="right" w:leader="dot" w:pos="8640"/>
      </w:tabs>
      <w:ind w:left="240"/>
    </w:pPr>
    <w:rPr>
      <w:b/>
    </w:rPr>
  </w:style>
  <w:style w:type="paragraph" w:styleId="TOC3">
    <w:name w:val="toc 3"/>
    <w:basedOn w:val="Normal"/>
    <w:next w:val="Normal"/>
    <w:autoRedefine/>
    <w:semiHidden/>
    <w:rsid w:val="00CF73BC"/>
    <w:pPr>
      <w:tabs>
        <w:tab w:val="right" w:leader="dot" w:pos="8460"/>
      </w:tabs>
      <w:ind w:left="480"/>
    </w:pPr>
  </w:style>
  <w:style w:type="character" w:customStyle="1" w:styleId="BodyTextChar">
    <w:name w:val="Body Text Char"/>
    <w:basedOn w:val="DefaultParagraphFont"/>
    <w:link w:val="BodyText"/>
    <w:rsid w:val="00F20FA3"/>
    <w:rPr>
      <w:sz w:val="24"/>
      <w:szCs w:val="24"/>
      <w:lang w:val="en-US" w:eastAsia="en-US" w:bidi="ar-SA"/>
    </w:rPr>
  </w:style>
  <w:style w:type="paragraph" w:customStyle="1" w:styleId="UNNTOCHeading1">
    <w:name w:val="UN NTOC Heading 1"/>
    <w:rsid w:val="002E6EAE"/>
    <w:pPr>
      <w:spacing w:after="240"/>
    </w:pPr>
    <w:rPr>
      <w:rFonts w:ascii="Trebuchet MS" w:hAnsi="Trebuchet MS" w:cs="Arial"/>
      <w:b/>
      <w:bCs/>
      <w:color w:val="000080"/>
      <w:kern w:val="32"/>
      <w:sz w:val="36"/>
      <w:szCs w:val="28"/>
    </w:rPr>
  </w:style>
  <w:style w:type="paragraph" w:customStyle="1" w:styleId="LegalText">
    <w:name w:val="Legal Text"/>
    <w:basedOn w:val="BodyText"/>
    <w:rsid w:val="00EA228D"/>
    <w:rPr>
      <w:sz w:val="20"/>
      <w:szCs w:val="20"/>
    </w:rPr>
  </w:style>
  <w:style w:type="paragraph" w:styleId="Title">
    <w:name w:val="Title"/>
    <w:basedOn w:val="Normal"/>
    <w:next w:val="Normal"/>
    <w:qFormat/>
    <w:rsid w:val="00A33260"/>
    <w:pPr>
      <w:widowControl w:val="0"/>
      <w:jc w:val="center"/>
    </w:pPr>
    <w:rPr>
      <w:b/>
      <w:sz w:val="36"/>
      <w:szCs w:val="20"/>
    </w:rPr>
  </w:style>
  <w:style w:type="character" w:customStyle="1" w:styleId="Bullet1Char">
    <w:name w:val="Bullet 1 Char"/>
    <w:basedOn w:val="BodyTextChar"/>
    <w:link w:val="Bullet1"/>
    <w:rsid w:val="00185EB0"/>
    <w:rPr>
      <w:rFonts w:ascii="Arial" w:hAnsi="Arial"/>
      <w:sz w:val="22"/>
      <w:szCs w:val="24"/>
      <w:lang w:val="en-US" w:eastAsia="en-US" w:bidi="ar-SA"/>
    </w:rPr>
  </w:style>
  <w:style w:type="paragraph" w:customStyle="1" w:styleId="BodyTextNumbered">
    <w:name w:val="Body Text Numbered"/>
    <w:basedOn w:val="BodyText"/>
    <w:rsid w:val="00B82F49"/>
    <w:pPr>
      <w:tabs>
        <w:tab w:val="num" w:pos="720"/>
      </w:tabs>
      <w:ind w:left="720" w:hanging="360"/>
    </w:pPr>
  </w:style>
  <w:style w:type="character" w:styleId="CommentReference">
    <w:name w:val="annotation reference"/>
    <w:basedOn w:val="DefaultParagraphFont"/>
    <w:uiPriority w:val="1"/>
    <w:semiHidden/>
    <w:rsid w:val="00B82F49"/>
    <w:rPr>
      <w:sz w:val="16"/>
      <w:szCs w:val="16"/>
    </w:rPr>
  </w:style>
  <w:style w:type="paragraph" w:styleId="CommentText">
    <w:name w:val="annotation text"/>
    <w:basedOn w:val="Normal"/>
    <w:uiPriority w:val="1"/>
    <w:semiHidden/>
    <w:rsid w:val="00B82F49"/>
    <w:rPr>
      <w:sz w:val="20"/>
      <w:szCs w:val="20"/>
    </w:rPr>
  </w:style>
  <w:style w:type="paragraph" w:styleId="CommentSubject">
    <w:name w:val="annotation subject"/>
    <w:basedOn w:val="CommentText"/>
    <w:next w:val="CommentText"/>
    <w:uiPriority w:val="1"/>
    <w:semiHidden/>
    <w:rsid w:val="00B82F49"/>
    <w:rPr>
      <w:b/>
      <w:bCs/>
    </w:rPr>
  </w:style>
  <w:style w:type="paragraph" w:customStyle="1" w:styleId="Default">
    <w:name w:val="Default"/>
    <w:rsid w:val="00B82F49"/>
    <w:pPr>
      <w:autoSpaceDE w:val="0"/>
      <w:autoSpaceDN w:val="0"/>
      <w:adjustRightInd w:val="0"/>
    </w:pPr>
    <w:rPr>
      <w:rFonts w:ascii="Arial" w:hAnsi="Arial" w:cs="Arial"/>
      <w:color w:val="000000"/>
    </w:rPr>
  </w:style>
  <w:style w:type="character" w:customStyle="1" w:styleId="Bullet2Char">
    <w:name w:val="Bullet 2 Char"/>
    <w:basedOn w:val="Bullet1Char"/>
    <w:link w:val="Bullet2"/>
    <w:rsid w:val="00185EB0"/>
    <w:rPr>
      <w:rFonts w:ascii="Arial" w:hAnsi="Arial"/>
      <w:sz w:val="22"/>
      <w:szCs w:val="24"/>
      <w:lang w:val="en-US" w:eastAsia="en-US" w:bidi="ar-SA"/>
    </w:rPr>
  </w:style>
  <w:style w:type="paragraph" w:customStyle="1" w:styleId="Bullet1FlushforTextBox">
    <w:name w:val="Bullet 1 Flush for Text Box"/>
    <w:basedOn w:val="Bullet1"/>
    <w:rsid w:val="00D97D42"/>
    <w:pPr>
      <w:pBdr>
        <w:left w:val="single" w:sz="12" w:space="4" w:color="auto"/>
      </w:pBdr>
      <w:spacing w:line="216" w:lineRule="auto"/>
    </w:pPr>
  </w:style>
  <w:style w:type="paragraph" w:customStyle="1" w:styleId="Bullet2Tight">
    <w:name w:val="Bullet 2 Tight"/>
    <w:basedOn w:val="Bullet2"/>
    <w:rsid w:val="0010166E"/>
    <w:pPr>
      <w:spacing w:after="0"/>
    </w:pPr>
  </w:style>
  <w:style w:type="paragraph" w:customStyle="1" w:styleId="Bullet1Check">
    <w:name w:val="Bullet 1 Check"/>
    <w:basedOn w:val="Bullet1"/>
    <w:rsid w:val="001211EC"/>
    <w:pPr>
      <w:numPr>
        <w:numId w:val="4"/>
      </w:numPr>
    </w:pPr>
  </w:style>
  <w:style w:type="paragraph" w:customStyle="1" w:styleId="Listing">
    <w:name w:val="Listing"/>
    <w:basedOn w:val="Normal"/>
    <w:rsid w:val="001714D8"/>
    <w:pPr>
      <w:numPr>
        <w:numId w:val="2"/>
      </w:numPr>
      <w:tabs>
        <w:tab w:val="clear" w:pos="360"/>
        <w:tab w:val="num" w:pos="270"/>
      </w:tabs>
      <w:spacing w:line="360" w:lineRule="auto"/>
      <w:ind w:left="270" w:hanging="270"/>
      <w:jc w:val="both"/>
    </w:pPr>
    <w:rPr>
      <w:color w:val="000000"/>
      <w:spacing w:val="-2"/>
      <w:szCs w:val="20"/>
    </w:rPr>
  </w:style>
  <w:style w:type="paragraph" w:customStyle="1" w:styleId="ExperienceChecks">
    <w:name w:val="Experience Checks"/>
    <w:basedOn w:val="Normal"/>
    <w:rsid w:val="00FE4D50"/>
    <w:pPr>
      <w:numPr>
        <w:numId w:val="3"/>
      </w:numPr>
      <w:tabs>
        <w:tab w:val="clear" w:pos="720"/>
        <w:tab w:val="left" w:pos="360"/>
      </w:tabs>
      <w:spacing w:after="80" w:line="216" w:lineRule="auto"/>
      <w:ind w:left="360"/>
    </w:pPr>
    <w:rPr>
      <w:rFonts w:ascii="Arial Narrow" w:hAnsi="Arial Narrow"/>
      <w:sz w:val="20"/>
      <w:szCs w:val="20"/>
    </w:rPr>
  </w:style>
  <w:style w:type="paragraph" w:styleId="List">
    <w:name w:val="List"/>
    <w:basedOn w:val="Normal"/>
    <w:rsid w:val="00673EA1"/>
    <w:pPr>
      <w:ind w:left="360" w:hanging="360"/>
    </w:pPr>
    <w:rPr>
      <w:rFonts w:ascii="CG Times" w:hAnsi="CG Times"/>
      <w:szCs w:val="20"/>
    </w:rPr>
  </w:style>
  <w:style w:type="paragraph" w:styleId="BodyTextIndent3">
    <w:name w:val="Body Text Indent 3"/>
    <w:basedOn w:val="Normal"/>
    <w:uiPriority w:val="1"/>
    <w:rsid w:val="00AE1B27"/>
    <w:pPr>
      <w:ind w:left="720"/>
      <w:jc w:val="both"/>
    </w:pPr>
  </w:style>
  <w:style w:type="character" w:customStyle="1" w:styleId="BalloonTextChar">
    <w:name w:val="Balloon Text Char"/>
    <w:basedOn w:val="DefaultParagraphFont"/>
    <w:link w:val="BalloonText"/>
    <w:rsid w:val="00C26518"/>
    <w:rPr>
      <w:rFonts w:ascii="Tahoma" w:hAnsi="Tahoma" w:cs="Tahoma"/>
      <w:sz w:val="16"/>
      <w:szCs w:val="16"/>
    </w:rPr>
  </w:style>
  <w:style w:type="numbering" w:customStyle="1" w:styleId="CurrentList1">
    <w:name w:val="Current List1"/>
    <w:rsid w:val="00A16897"/>
    <w:pPr>
      <w:numPr>
        <w:numId w:val="5"/>
      </w:numPr>
    </w:pPr>
  </w:style>
  <w:style w:type="paragraph" w:customStyle="1" w:styleId="TableBullet">
    <w:name w:val="Table Bullet"/>
    <w:basedOn w:val="Normal"/>
    <w:rsid w:val="00E80B28"/>
    <w:pPr>
      <w:numPr>
        <w:numId w:val="6"/>
      </w:numPr>
    </w:pPr>
  </w:style>
  <w:style w:type="paragraph" w:customStyle="1" w:styleId="ResParagraph">
    <w:name w:val="ResParagraph"/>
    <w:basedOn w:val="Normal"/>
    <w:rsid w:val="00E80B28"/>
    <w:pPr>
      <w:spacing w:after="120"/>
      <w:jc w:val="both"/>
    </w:pPr>
    <w:rPr>
      <w:szCs w:val="20"/>
    </w:rPr>
  </w:style>
  <w:style w:type="paragraph" w:styleId="DocumentMap">
    <w:name w:val="Document Map"/>
    <w:basedOn w:val="Normal"/>
    <w:semiHidden/>
    <w:rsid w:val="00331AC5"/>
    <w:pPr>
      <w:shd w:val="clear" w:color="auto" w:fill="000080"/>
    </w:pPr>
    <w:rPr>
      <w:rFonts w:ascii="Tahoma" w:hAnsi="Tahoma" w:cs="Tahoma"/>
      <w:sz w:val="20"/>
      <w:szCs w:val="20"/>
    </w:rPr>
  </w:style>
  <w:style w:type="character" w:styleId="Emphasis">
    <w:name w:val="Emphasis"/>
    <w:basedOn w:val="DefaultParagraphFont"/>
    <w:uiPriority w:val="1"/>
    <w:qFormat/>
    <w:rsid w:val="00792E93"/>
    <w:rPr>
      <w:i/>
      <w:iCs/>
    </w:rPr>
  </w:style>
  <w:style w:type="paragraph" w:styleId="List4">
    <w:name w:val="List 4"/>
    <w:basedOn w:val="Normal"/>
    <w:rsid w:val="00296D8E"/>
    <w:pPr>
      <w:numPr>
        <w:ilvl w:val="3"/>
        <w:numId w:val="7"/>
      </w:numPr>
      <w:contextualSpacing/>
    </w:pPr>
  </w:style>
  <w:style w:type="paragraph" w:customStyle="1" w:styleId="HeaderBold">
    <w:name w:val="Header Bold"/>
    <w:basedOn w:val="Normal"/>
    <w:qFormat/>
    <w:rsid w:val="00D54537"/>
    <w:pPr>
      <w:jc w:val="center"/>
    </w:pPr>
    <w:rPr>
      <w:rFonts w:ascii="Trebuchet MS" w:hAnsi="Trebuchet MS" w:cs="Arial"/>
      <w:b/>
      <w:sz w:val="20"/>
      <w:szCs w:val="22"/>
    </w:rPr>
  </w:style>
  <w:style w:type="paragraph" w:customStyle="1" w:styleId="HeaderNormal">
    <w:name w:val="Header Normal"/>
    <w:basedOn w:val="Normal"/>
    <w:qFormat/>
    <w:rsid w:val="00D54537"/>
    <w:rPr>
      <w:rFonts w:ascii="Trebuchet MS" w:hAnsi="Trebuchet MS" w:cs="Arial"/>
      <w:sz w:val="18"/>
      <w:szCs w:val="18"/>
    </w:rPr>
  </w:style>
  <w:style w:type="paragraph" w:customStyle="1" w:styleId="TitlePage14">
    <w:name w:val="Title Page 14"/>
    <w:basedOn w:val="Normal"/>
    <w:rsid w:val="0023580A"/>
    <w:pPr>
      <w:jc w:val="right"/>
    </w:pPr>
    <w:rPr>
      <w:rFonts w:ascii="Trebuchet MS" w:hAnsi="Trebuchet MS"/>
      <w:b/>
      <w:bCs/>
      <w:color w:val="000066"/>
      <w:sz w:val="28"/>
      <w:szCs w:val="20"/>
    </w:rPr>
  </w:style>
  <w:style w:type="paragraph" w:customStyle="1" w:styleId="StyleTitlePage18">
    <w:name w:val="Style Title Page 18"/>
    <w:basedOn w:val="TitlePage14"/>
    <w:rsid w:val="0023580A"/>
    <w:rPr>
      <w:sz w:val="36"/>
    </w:rPr>
  </w:style>
  <w:style w:type="paragraph" w:customStyle="1" w:styleId="TitlePage12">
    <w:name w:val="Title Page 12"/>
    <w:basedOn w:val="TitlePage14"/>
    <w:rsid w:val="0023580A"/>
    <w:rPr>
      <w:b w:val="0"/>
      <w:bCs w:val="0"/>
      <w:sz w:val="24"/>
    </w:rPr>
  </w:style>
  <w:style w:type="paragraph" w:styleId="ListParagraph">
    <w:name w:val="List Paragraph"/>
    <w:aliases w:val="Alpha List Paragraph"/>
    <w:basedOn w:val="Normal"/>
    <w:link w:val="ListParagraphChar"/>
    <w:qFormat/>
    <w:rsid w:val="009167F1"/>
    <w:pPr>
      <w:ind w:left="720"/>
      <w:contextualSpacing/>
    </w:pPr>
  </w:style>
  <w:style w:type="character" w:customStyle="1" w:styleId="ListParagraphChar">
    <w:name w:val="List Paragraph Char"/>
    <w:aliases w:val="Alpha List Paragraph Char"/>
    <w:link w:val="ListParagraph"/>
    <w:locked/>
    <w:rsid w:val="00967F07"/>
    <w:rPr>
      <w:rFonts w:ascii="Arial" w:hAnsi="Arial"/>
      <w:sz w:val="22"/>
    </w:rPr>
  </w:style>
  <w:style w:type="paragraph" w:styleId="Revision">
    <w:name w:val="Revision"/>
    <w:hidden/>
    <w:rsid w:val="001E49E5"/>
    <w:rPr>
      <w:rFonts w:ascii="Arial" w:hAnsi="Arial"/>
      <w:sz w:val="22"/>
    </w:rPr>
  </w:style>
  <w:style w:type="character" w:customStyle="1" w:styleId="FASTproposalrepaste">
    <w:name w:val="FAST proposal repaste"/>
    <w:basedOn w:val="DefaultParagraphFont"/>
    <w:rsid w:val="00336ADC"/>
    <w:rPr>
      <w:rFonts w:ascii="Times New Roman" w:hAnsi="Times New Roman"/>
      <w:color w:val="0000FF"/>
    </w:rPr>
  </w:style>
  <w:style w:type="paragraph" w:customStyle="1" w:styleId="StyleTableBullet10ptItalicBlue">
    <w:name w:val="Style Table Bullet + 10 pt Italic Blue"/>
    <w:basedOn w:val="TableBullet"/>
    <w:rsid w:val="00336ADC"/>
    <w:pPr>
      <w:numPr>
        <w:numId w:val="10"/>
      </w:numPr>
    </w:pPr>
    <w:rPr>
      <w:i/>
      <w:iCs/>
      <w:color w:val="0000FF"/>
      <w:sz w:val="20"/>
    </w:rPr>
  </w:style>
  <w:style w:type="paragraph" w:styleId="BodyText2">
    <w:name w:val="Body Text 2"/>
    <w:basedOn w:val="Normal"/>
    <w:link w:val="BodyText2Char"/>
    <w:rsid w:val="00991730"/>
    <w:pPr>
      <w:spacing w:after="120" w:line="480" w:lineRule="auto"/>
    </w:pPr>
  </w:style>
  <w:style w:type="character" w:customStyle="1" w:styleId="BodyText2Char">
    <w:name w:val="Body Text 2 Char"/>
    <w:basedOn w:val="DefaultParagraphFont"/>
    <w:link w:val="BodyText2"/>
    <w:rsid w:val="00991730"/>
    <w:rPr>
      <w:rFonts w:ascii="Arial" w:hAnsi="Arial"/>
      <w:sz w:val="22"/>
    </w:rPr>
  </w:style>
  <w:style w:type="paragraph" w:styleId="ListBullet">
    <w:name w:val="List Bullet"/>
    <w:basedOn w:val="Normal"/>
    <w:rsid w:val="00434323"/>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Body Text" w:qFormat="1"/>
    <w:lsdException w:name="Hyperlink" w:uiPriority="99"/>
    <w:lsdException w:name="List Paragraph" w:qFormat="1"/>
  </w:latentStyles>
  <w:style w:type="paragraph" w:default="1" w:styleId="Normal">
    <w:name w:val="Normal"/>
    <w:qFormat/>
    <w:rsid w:val="00980579"/>
    <w:rPr>
      <w:rFonts w:ascii="Arial" w:hAnsi="Arial"/>
      <w:sz w:val="22"/>
    </w:rPr>
  </w:style>
  <w:style w:type="paragraph" w:styleId="Heading1">
    <w:name w:val="heading 1"/>
    <w:basedOn w:val="Normal"/>
    <w:next w:val="BodyText"/>
    <w:qFormat/>
    <w:rsid w:val="006637C1"/>
    <w:pPr>
      <w:keepNext/>
      <w:pageBreakBefore/>
      <w:numPr>
        <w:numId w:val="7"/>
      </w:numPr>
      <w:spacing w:before="240" w:after="60"/>
      <w:outlineLvl w:val="0"/>
    </w:pPr>
    <w:rPr>
      <w:rFonts w:ascii="Trebuchet MS" w:hAnsi="Trebuchet MS" w:cs="Arial"/>
      <w:b/>
      <w:bCs/>
      <w:color w:val="000080"/>
      <w:kern w:val="32"/>
      <w:sz w:val="36"/>
      <w:szCs w:val="36"/>
    </w:rPr>
  </w:style>
  <w:style w:type="paragraph" w:styleId="Heading2">
    <w:name w:val="heading 2"/>
    <w:basedOn w:val="Normal"/>
    <w:next w:val="BodyText"/>
    <w:qFormat/>
    <w:rsid w:val="006F4F84"/>
    <w:pPr>
      <w:keepNext/>
      <w:numPr>
        <w:ilvl w:val="1"/>
        <w:numId w:val="7"/>
      </w:numPr>
      <w:tabs>
        <w:tab w:val="left" w:pos="0"/>
      </w:tabs>
      <w:spacing w:before="240" w:after="60"/>
      <w:outlineLvl w:val="1"/>
    </w:pPr>
    <w:rPr>
      <w:rFonts w:ascii="Trebuchet MS" w:hAnsi="Trebuchet MS" w:cs="Arial"/>
      <w:b/>
      <w:bCs/>
      <w:iCs/>
      <w:sz w:val="30"/>
      <w:szCs w:val="28"/>
    </w:rPr>
  </w:style>
  <w:style w:type="paragraph" w:styleId="Heading3">
    <w:name w:val="heading 3"/>
    <w:basedOn w:val="Normal"/>
    <w:next w:val="BodyText"/>
    <w:qFormat/>
    <w:rsid w:val="006B0088"/>
    <w:pPr>
      <w:keepNext/>
      <w:numPr>
        <w:ilvl w:val="2"/>
        <w:numId w:val="7"/>
      </w:numPr>
      <w:spacing w:before="240" w:after="60"/>
      <w:outlineLvl w:val="2"/>
    </w:pPr>
    <w:rPr>
      <w:rFonts w:cs="Arial"/>
      <w:b/>
      <w:bCs/>
      <w:sz w:val="28"/>
      <w:szCs w:val="26"/>
    </w:rPr>
  </w:style>
  <w:style w:type="paragraph" w:styleId="Heading4">
    <w:name w:val="heading 4"/>
    <w:basedOn w:val="Normal"/>
    <w:next w:val="BodyText"/>
    <w:qFormat/>
    <w:rsid w:val="00CE4C64"/>
    <w:pPr>
      <w:keepNext/>
      <w:spacing w:before="120"/>
      <w:outlineLvl w:val="3"/>
    </w:pPr>
    <w:rPr>
      <w:rFonts w:cs="Arial"/>
      <w:b/>
      <w:bCs/>
      <w:sz w:val="24"/>
      <w:u w:val="single"/>
    </w:rPr>
  </w:style>
  <w:style w:type="paragraph" w:styleId="Heading5">
    <w:name w:val="heading 5"/>
    <w:basedOn w:val="BodyText"/>
    <w:next w:val="Normal"/>
    <w:qFormat/>
    <w:rsid w:val="00991730"/>
    <w:pPr>
      <w:spacing w:after="60"/>
      <w:outlineLvl w:val="4"/>
    </w:pPr>
    <w:rPr>
      <w:rFonts w:cs="Arial"/>
      <w:b/>
      <w:i/>
      <w:szCs w:val="20"/>
    </w:rPr>
  </w:style>
  <w:style w:type="paragraph" w:styleId="Heading6">
    <w:name w:val="heading 6"/>
    <w:basedOn w:val="Normal"/>
    <w:next w:val="Normal"/>
    <w:qFormat/>
    <w:rsid w:val="00B82F49"/>
    <w:pPr>
      <w:tabs>
        <w:tab w:val="num" w:pos="605"/>
      </w:tabs>
      <w:spacing w:before="240" w:after="60"/>
      <w:ind w:left="605" w:hanging="1152"/>
      <w:outlineLvl w:val="5"/>
    </w:pPr>
    <w:rPr>
      <w:b/>
      <w:bCs/>
      <w:szCs w:val="22"/>
    </w:rPr>
  </w:style>
  <w:style w:type="paragraph" w:styleId="Heading7">
    <w:name w:val="heading 7"/>
    <w:basedOn w:val="Normal"/>
    <w:next w:val="Normal"/>
    <w:qFormat/>
    <w:rsid w:val="00B82F49"/>
    <w:pPr>
      <w:tabs>
        <w:tab w:val="num" w:pos="749"/>
      </w:tabs>
      <w:spacing w:before="240" w:after="60"/>
      <w:ind w:left="749" w:hanging="1296"/>
      <w:outlineLvl w:val="6"/>
    </w:pPr>
  </w:style>
  <w:style w:type="paragraph" w:styleId="Heading8">
    <w:name w:val="heading 8"/>
    <w:basedOn w:val="Normal"/>
    <w:next w:val="Normal"/>
    <w:qFormat/>
    <w:rsid w:val="00B82F49"/>
    <w:pPr>
      <w:tabs>
        <w:tab w:val="num" w:pos="893"/>
      </w:tabs>
      <w:spacing w:before="240" w:after="60"/>
      <w:ind w:left="893" w:hanging="1440"/>
      <w:outlineLvl w:val="7"/>
    </w:pPr>
    <w:rPr>
      <w:i/>
      <w:iCs/>
    </w:rPr>
  </w:style>
  <w:style w:type="paragraph" w:styleId="Heading9">
    <w:name w:val="heading 9"/>
    <w:basedOn w:val="Normal"/>
    <w:next w:val="Normal"/>
    <w:qFormat/>
    <w:rsid w:val="00B82F49"/>
    <w:pPr>
      <w:tabs>
        <w:tab w:val="num" w:pos="1037"/>
      </w:tabs>
      <w:spacing w:before="240" w:after="60"/>
      <w:ind w:left="1037"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0154"/>
    <w:pPr>
      <w:spacing w:after="120"/>
    </w:pPr>
  </w:style>
  <w:style w:type="paragraph" w:customStyle="1" w:styleId="Bullet1">
    <w:name w:val="Bullet 1"/>
    <w:basedOn w:val="BodyText"/>
    <w:link w:val="Bullet1Char"/>
    <w:qFormat/>
    <w:rsid w:val="00B82F49"/>
    <w:pPr>
      <w:spacing w:after="60"/>
    </w:pPr>
  </w:style>
  <w:style w:type="table" w:styleId="TableGrid">
    <w:name w:val="Table Grid"/>
    <w:basedOn w:val="TableNormal"/>
    <w:uiPriority w:val="59"/>
    <w:rsid w:val="00FC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FC1A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skDescription">
    <w:name w:val="Task Description"/>
    <w:basedOn w:val="BodyText"/>
    <w:rsid w:val="00207D21"/>
    <w:pPr>
      <w:spacing w:before="60"/>
      <w:jc w:val="right"/>
    </w:pPr>
    <w:rPr>
      <w:rFonts w:ascii="Arial Black" w:hAnsi="Arial Black" w:cs="Arial"/>
      <w:sz w:val="16"/>
      <w:szCs w:val="16"/>
    </w:rPr>
  </w:style>
  <w:style w:type="paragraph" w:styleId="Header">
    <w:name w:val="header"/>
    <w:basedOn w:val="Normal"/>
    <w:rsid w:val="00226FEC"/>
    <w:pPr>
      <w:tabs>
        <w:tab w:val="center" w:pos="4320"/>
        <w:tab w:val="right" w:pos="8640"/>
      </w:tabs>
    </w:pPr>
  </w:style>
  <w:style w:type="paragraph" w:styleId="Footer">
    <w:name w:val="footer"/>
    <w:basedOn w:val="Normal"/>
    <w:rsid w:val="00226FEC"/>
    <w:pPr>
      <w:tabs>
        <w:tab w:val="center" w:pos="4320"/>
        <w:tab w:val="right" w:pos="8640"/>
      </w:tabs>
    </w:pPr>
  </w:style>
  <w:style w:type="character" w:styleId="PageNumber">
    <w:name w:val="page number"/>
    <w:basedOn w:val="DefaultParagraphFont"/>
    <w:rsid w:val="005E041F"/>
  </w:style>
  <w:style w:type="paragraph" w:styleId="BalloonText">
    <w:name w:val="Balloon Text"/>
    <w:basedOn w:val="Normal"/>
    <w:link w:val="BalloonTextChar"/>
    <w:rsid w:val="00C26518"/>
    <w:rPr>
      <w:rFonts w:ascii="Tahoma" w:hAnsi="Tahoma" w:cs="Tahoma"/>
      <w:sz w:val="16"/>
      <w:szCs w:val="16"/>
    </w:rPr>
  </w:style>
  <w:style w:type="paragraph" w:customStyle="1" w:styleId="TitlePageText">
    <w:name w:val="Title Page Text"/>
    <w:rsid w:val="005607B0"/>
    <w:pPr>
      <w:jc w:val="center"/>
    </w:pPr>
    <w:rPr>
      <w:rFonts w:ascii="Arial" w:hAnsi="Arial" w:cs="Arial"/>
      <w:b/>
      <w:sz w:val="32"/>
      <w:szCs w:val="32"/>
    </w:rPr>
  </w:style>
  <w:style w:type="paragraph" w:customStyle="1" w:styleId="BodyTextRFPText">
    <w:name w:val="Body Text (RFP Text)"/>
    <w:basedOn w:val="BodyText"/>
    <w:rsid w:val="00BE3FD2"/>
    <w:rPr>
      <w:rFonts w:ascii="Courier New" w:hAnsi="Courier New" w:cs="Courier New"/>
      <w:sz w:val="20"/>
      <w:szCs w:val="20"/>
    </w:rPr>
  </w:style>
  <w:style w:type="paragraph" w:customStyle="1" w:styleId="Bullet2">
    <w:name w:val="Bullet 2"/>
    <w:basedOn w:val="Bullet1"/>
    <w:link w:val="Bullet2Char"/>
    <w:rsid w:val="00B82F49"/>
    <w:pPr>
      <w:numPr>
        <w:numId w:val="1"/>
      </w:numPr>
      <w:tabs>
        <w:tab w:val="clear" w:pos="720"/>
        <w:tab w:val="num" w:pos="1080"/>
      </w:tabs>
      <w:ind w:left="1080"/>
    </w:pPr>
  </w:style>
  <w:style w:type="paragraph" w:customStyle="1" w:styleId="UNHeading1">
    <w:name w:val="UN Heading 1"/>
    <w:basedOn w:val="Heading1"/>
    <w:next w:val="BodyText"/>
    <w:rsid w:val="00675536"/>
    <w:pPr>
      <w:numPr>
        <w:numId w:val="0"/>
      </w:numPr>
    </w:pPr>
  </w:style>
  <w:style w:type="character" w:styleId="Hyperlink">
    <w:name w:val="Hyperlink"/>
    <w:basedOn w:val="DefaultParagraphFont"/>
    <w:uiPriority w:val="99"/>
    <w:rsid w:val="004B7C30"/>
    <w:rPr>
      <w:color w:val="0000FF"/>
      <w:u w:val="single"/>
    </w:rPr>
  </w:style>
  <w:style w:type="paragraph" w:styleId="TOC1">
    <w:name w:val="toc 1"/>
    <w:basedOn w:val="Normal"/>
    <w:next w:val="Normal"/>
    <w:autoRedefine/>
    <w:uiPriority w:val="39"/>
    <w:rsid w:val="003E5730"/>
    <w:pPr>
      <w:tabs>
        <w:tab w:val="left" w:pos="720"/>
        <w:tab w:val="right" w:leader="dot" w:pos="8630"/>
      </w:tabs>
      <w:spacing w:before="120" w:after="60"/>
      <w:ind w:left="720" w:hanging="720"/>
    </w:pPr>
    <w:rPr>
      <w:rFonts w:ascii="Century Gothic" w:hAnsi="Century Gothic"/>
      <w:b/>
      <w:noProof/>
      <w:color w:val="000080"/>
    </w:rPr>
  </w:style>
  <w:style w:type="paragraph" w:styleId="TOC2">
    <w:name w:val="toc 2"/>
    <w:basedOn w:val="Normal"/>
    <w:next w:val="Normal"/>
    <w:autoRedefine/>
    <w:uiPriority w:val="39"/>
    <w:rsid w:val="003421CA"/>
    <w:pPr>
      <w:tabs>
        <w:tab w:val="left" w:pos="1200"/>
        <w:tab w:val="right" w:leader="dot" w:pos="8640"/>
      </w:tabs>
      <w:ind w:left="240"/>
    </w:pPr>
    <w:rPr>
      <w:b/>
    </w:rPr>
  </w:style>
  <w:style w:type="paragraph" w:styleId="TOC3">
    <w:name w:val="toc 3"/>
    <w:basedOn w:val="Normal"/>
    <w:next w:val="Normal"/>
    <w:autoRedefine/>
    <w:semiHidden/>
    <w:rsid w:val="00CF73BC"/>
    <w:pPr>
      <w:tabs>
        <w:tab w:val="right" w:leader="dot" w:pos="8460"/>
      </w:tabs>
      <w:ind w:left="480"/>
    </w:pPr>
  </w:style>
  <w:style w:type="character" w:customStyle="1" w:styleId="BodyTextChar">
    <w:name w:val="Body Text Char"/>
    <w:basedOn w:val="DefaultParagraphFont"/>
    <w:link w:val="BodyText"/>
    <w:rsid w:val="00F20FA3"/>
    <w:rPr>
      <w:sz w:val="24"/>
      <w:szCs w:val="24"/>
      <w:lang w:val="en-US" w:eastAsia="en-US" w:bidi="ar-SA"/>
    </w:rPr>
  </w:style>
  <w:style w:type="paragraph" w:customStyle="1" w:styleId="UNNTOCHeading1">
    <w:name w:val="UN NTOC Heading 1"/>
    <w:rsid w:val="002E6EAE"/>
    <w:pPr>
      <w:spacing w:after="240"/>
    </w:pPr>
    <w:rPr>
      <w:rFonts w:ascii="Trebuchet MS" w:hAnsi="Trebuchet MS" w:cs="Arial"/>
      <w:b/>
      <w:bCs/>
      <w:color w:val="000080"/>
      <w:kern w:val="32"/>
      <w:sz w:val="36"/>
      <w:szCs w:val="28"/>
    </w:rPr>
  </w:style>
  <w:style w:type="paragraph" w:customStyle="1" w:styleId="LegalText">
    <w:name w:val="Legal Text"/>
    <w:basedOn w:val="BodyText"/>
    <w:rsid w:val="00EA228D"/>
    <w:rPr>
      <w:sz w:val="20"/>
      <w:szCs w:val="20"/>
    </w:rPr>
  </w:style>
  <w:style w:type="paragraph" w:styleId="Title">
    <w:name w:val="Title"/>
    <w:basedOn w:val="Normal"/>
    <w:next w:val="Normal"/>
    <w:qFormat/>
    <w:rsid w:val="00A33260"/>
    <w:pPr>
      <w:widowControl w:val="0"/>
      <w:jc w:val="center"/>
    </w:pPr>
    <w:rPr>
      <w:b/>
      <w:sz w:val="36"/>
      <w:szCs w:val="20"/>
    </w:rPr>
  </w:style>
  <w:style w:type="character" w:customStyle="1" w:styleId="Bullet1Char">
    <w:name w:val="Bullet 1 Char"/>
    <w:basedOn w:val="BodyTextChar"/>
    <w:link w:val="Bullet1"/>
    <w:rsid w:val="00185EB0"/>
    <w:rPr>
      <w:rFonts w:ascii="Arial" w:hAnsi="Arial"/>
      <w:sz w:val="22"/>
      <w:szCs w:val="24"/>
      <w:lang w:val="en-US" w:eastAsia="en-US" w:bidi="ar-SA"/>
    </w:rPr>
  </w:style>
  <w:style w:type="paragraph" w:customStyle="1" w:styleId="BodyTextNumbered">
    <w:name w:val="Body Text Numbered"/>
    <w:basedOn w:val="BodyText"/>
    <w:rsid w:val="00B82F49"/>
    <w:pPr>
      <w:tabs>
        <w:tab w:val="num" w:pos="720"/>
      </w:tabs>
      <w:ind w:left="720" w:hanging="360"/>
    </w:pPr>
  </w:style>
  <w:style w:type="character" w:styleId="CommentReference">
    <w:name w:val="annotation reference"/>
    <w:basedOn w:val="DefaultParagraphFont"/>
    <w:uiPriority w:val="1"/>
    <w:semiHidden/>
    <w:rsid w:val="00B82F49"/>
    <w:rPr>
      <w:sz w:val="16"/>
      <w:szCs w:val="16"/>
    </w:rPr>
  </w:style>
  <w:style w:type="paragraph" w:styleId="CommentText">
    <w:name w:val="annotation text"/>
    <w:basedOn w:val="Normal"/>
    <w:uiPriority w:val="1"/>
    <w:semiHidden/>
    <w:rsid w:val="00B82F49"/>
    <w:rPr>
      <w:sz w:val="20"/>
      <w:szCs w:val="20"/>
    </w:rPr>
  </w:style>
  <w:style w:type="paragraph" w:styleId="CommentSubject">
    <w:name w:val="annotation subject"/>
    <w:basedOn w:val="CommentText"/>
    <w:next w:val="CommentText"/>
    <w:uiPriority w:val="1"/>
    <w:semiHidden/>
    <w:rsid w:val="00B82F49"/>
    <w:rPr>
      <w:b/>
      <w:bCs/>
    </w:rPr>
  </w:style>
  <w:style w:type="paragraph" w:customStyle="1" w:styleId="Default">
    <w:name w:val="Default"/>
    <w:rsid w:val="00B82F49"/>
    <w:pPr>
      <w:autoSpaceDE w:val="0"/>
      <w:autoSpaceDN w:val="0"/>
      <w:adjustRightInd w:val="0"/>
    </w:pPr>
    <w:rPr>
      <w:rFonts w:ascii="Arial" w:hAnsi="Arial" w:cs="Arial"/>
      <w:color w:val="000000"/>
    </w:rPr>
  </w:style>
  <w:style w:type="character" w:customStyle="1" w:styleId="Bullet2Char">
    <w:name w:val="Bullet 2 Char"/>
    <w:basedOn w:val="Bullet1Char"/>
    <w:link w:val="Bullet2"/>
    <w:rsid w:val="00185EB0"/>
    <w:rPr>
      <w:rFonts w:ascii="Arial" w:hAnsi="Arial"/>
      <w:sz w:val="22"/>
      <w:szCs w:val="24"/>
      <w:lang w:val="en-US" w:eastAsia="en-US" w:bidi="ar-SA"/>
    </w:rPr>
  </w:style>
  <w:style w:type="paragraph" w:customStyle="1" w:styleId="Bullet1FlushforTextBox">
    <w:name w:val="Bullet 1 Flush for Text Box"/>
    <w:basedOn w:val="Bullet1"/>
    <w:rsid w:val="00D97D42"/>
    <w:pPr>
      <w:pBdr>
        <w:left w:val="single" w:sz="12" w:space="4" w:color="auto"/>
      </w:pBdr>
      <w:spacing w:line="216" w:lineRule="auto"/>
    </w:pPr>
  </w:style>
  <w:style w:type="paragraph" w:customStyle="1" w:styleId="Bullet2Tight">
    <w:name w:val="Bullet 2 Tight"/>
    <w:basedOn w:val="Bullet2"/>
    <w:rsid w:val="0010166E"/>
    <w:pPr>
      <w:spacing w:after="0"/>
    </w:pPr>
  </w:style>
  <w:style w:type="paragraph" w:customStyle="1" w:styleId="Bullet1Check">
    <w:name w:val="Bullet 1 Check"/>
    <w:basedOn w:val="Bullet1"/>
    <w:rsid w:val="001211EC"/>
    <w:pPr>
      <w:numPr>
        <w:numId w:val="4"/>
      </w:numPr>
    </w:pPr>
  </w:style>
  <w:style w:type="paragraph" w:customStyle="1" w:styleId="Listing">
    <w:name w:val="Listing"/>
    <w:basedOn w:val="Normal"/>
    <w:rsid w:val="001714D8"/>
    <w:pPr>
      <w:numPr>
        <w:numId w:val="2"/>
      </w:numPr>
      <w:tabs>
        <w:tab w:val="clear" w:pos="360"/>
        <w:tab w:val="num" w:pos="270"/>
      </w:tabs>
      <w:spacing w:line="360" w:lineRule="auto"/>
      <w:ind w:left="270" w:hanging="270"/>
      <w:jc w:val="both"/>
    </w:pPr>
    <w:rPr>
      <w:color w:val="000000"/>
      <w:spacing w:val="-2"/>
      <w:szCs w:val="20"/>
    </w:rPr>
  </w:style>
  <w:style w:type="paragraph" w:customStyle="1" w:styleId="ExperienceChecks">
    <w:name w:val="Experience Checks"/>
    <w:basedOn w:val="Normal"/>
    <w:rsid w:val="00FE4D50"/>
    <w:pPr>
      <w:numPr>
        <w:numId w:val="3"/>
      </w:numPr>
      <w:tabs>
        <w:tab w:val="clear" w:pos="720"/>
        <w:tab w:val="left" w:pos="360"/>
      </w:tabs>
      <w:spacing w:after="80" w:line="216" w:lineRule="auto"/>
      <w:ind w:left="360"/>
    </w:pPr>
    <w:rPr>
      <w:rFonts w:ascii="Arial Narrow" w:hAnsi="Arial Narrow"/>
      <w:sz w:val="20"/>
      <w:szCs w:val="20"/>
    </w:rPr>
  </w:style>
  <w:style w:type="paragraph" w:styleId="List">
    <w:name w:val="List"/>
    <w:basedOn w:val="Normal"/>
    <w:rsid w:val="00673EA1"/>
    <w:pPr>
      <w:ind w:left="360" w:hanging="360"/>
    </w:pPr>
    <w:rPr>
      <w:rFonts w:ascii="CG Times" w:hAnsi="CG Times"/>
      <w:szCs w:val="20"/>
    </w:rPr>
  </w:style>
  <w:style w:type="paragraph" w:styleId="BodyTextIndent3">
    <w:name w:val="Body Text Indent 3"/>
    <w:basedOn w:val="Normal"/>
    <w:uiPriority w:val="1"/>
    <w:rsid w:val="00AE1B27"/>
    <w:pPr>
      <w:ind w:left="720"/>
      <w:jc w:val="both"/>
    </w:pPr>
  </w:style>
  <w:style w:type="character" w:customStyle="1" w:styleId="BalloonTextChar">
    <w:name w:val="Balloon Text Char"/>
    <w:basedOn w:val="DefaultParagraphFont"/>
    <w:link w:val="BalloonText"/>
    <w:rsid w:val="00C26518"/>
    <w:rPr>
      <w:rFonts w:ascii="Tahoma" w:hAnsi="Tahoma" w:cs="Tahoma"/>
      <w:sz w:val="16"/>
      <w:szCs w:val="16"/>
    </w:rPr>
  </w:style>
  <w:style w:type="numbering" w:customStyle="1" w:styleId="CurrentList1">
    <w:name w:val="Current List1"/>
    <w:rsid w:val="00A16897"/>
    <w:pPr>
      <w:numPr>
        <w:numId w:val="5"/>
      </w:numPr>
    </w:pPr>
  </w:style>
  <w:style w:type="paragraph" w:customStyle="1" w:styleId="TableBullet">
    <w:name w:val="Table Bullet"/>
    <w:basedOn w:val="Normal"/>
    <w:rsid w:val="00E80B28"/>
    <w:pPr>
      <w:numPr>
        <w:numId w:val="6"/>
      </w:numPr>
    </w:pPr>
  </w:style>
  <w:style w:type="paragraph" w:customStyle="1" w:styleId="ResParagraph">
    <w:name w:val="ResParagraph"/>
    <w:basedOn w:val="Normal"/>
    <w:rsid w:val="00E80B28"/>
    <w:pPr>
      <w:spacing w:after="120"/>
      <w:jc w:val="both"/>
    </w:pPr>
    <w:rPr>
      <w:szCs w:val="20"/>
    </w:rPr>
  </w:style>
  <w:style w:type="paragraph" w:styleId="DocumentMap">
    <w:name w:val="Document Map"/>
    <w:basedOn w:val="Normal"/>
    <w:semiHidden/>
    <w:rsid w:val="00331AC5"/>
    <w:pPr>
      <w:shd w:val="clear" w:color="auto" w:fill="000080"/>
    </w:pPr>
    <w:rPr>
      <w:rFonts w:ascii="Tahoma" w:hAnsi="Tahoma" w:cs="Tahoma"/>
      <w:sz w:val="20"/>
      <w:szCs w:val="20"/>
    </w:rPr>
  </w:style>
  <w:style w:type="character" w:styleId="Emphasis">
    <w:name w:val="Emphasis"/>
    <w:basedOn w:val="DefaultParagraphFont"/>
    <w:uiPriority w:val="1"/>
    <w:qFormat/>
    <w:rsid w:val="00792E93"/>
    <w:rPr>
      <w:i/>
      <w:iCs/>
    </w:rPr>
  </w:style>
  <w:style w:type="paragraph" w:styleId="List4">
    <w:name w:val="List 4"/>
    <w:basedOn w:val="Normal"/>
    <w:rsid w:val="00296D8E"/>
    <w:pPr>
      <w:numPr>
        <w:ilvl w:val="3"/>
        <w:numId w:val="7"/>
      </w:numPr>
      <w:contextualSpacing/>
    </w:pPr>
  </w:style>
  <w:style w:type="paragraph" w:customStyle="1" w:styleId="HeaderBold">
    <w:name w:val="Header Bold"/>
    <w:basedOn w:val="Normal"/>
    <w:qFormat/>
    <w:rsid w:val="00D54537"/>
    <w:pPr>
      <w:jc w:val="center"/>
    </w:pPr>
    <w:rPr>
      <w:rFonts w:ascii="Trebuchet MS" w:hAnsi="Trebuchet MS" w:cs="Arial"/>
      <w:b/>
      <w:sz w:val="20"/>
      <w:szCs w:val="22"/>
    </w:rPr>
  </w:style>
  <w:style w:type="paragraph" w:customStyle="1" w:styleId="HeaderNormal">
    <w:name w:val="Header Normal"/>
    <w:basedOn w:val="Normal"/>
    <w:qFormat/>
    <w:rsid w:val="00D54537"/>
    <w:rPr>
      <w:rFonts w:ascii="Trebuchet MS" w:hAnsi="Trebuchet MS" w:cs="Arial"/>
      <w:sz w:val="18"/>
      <w:szCs w:val="18"/>
    </w:rPr>
  </w:style>
  <w:style w:type="paragraph" w:customStyle="1" w:styleId="TitlePage14">
    <w:name w:val="Title Page 14"/>
    <w:basedOn w:val="Normal"/>
    <w:rsid w:val="0023580A"/>
    <w:pPr>
      <w:jc w:val="right"/>
    </w:pPr>
    <w:rPr>
      <w:rFonts w:ascii="Trebuchet MS" w:hAnsi="Trebuchet MS"/>
      <w:b/>
      <w:bCs/>
      <w:color w:val="000066"/>
      <w:sz w:val="28"/>
      <w:szCs w:val="20"/>
    </w:rPr>
  </w:style>
  <w:style w:type="paragraph" w:customStyle="1" w:styleId="StyleTitlePage18">
    <w:name w:val="Style Title Page 18"/>
    <w:basedOn w:val="TitlePage14"/>
    <w:rsid w:val="0023580A"/>
    <w:rPr>
      <w:sz w:val="36"/>
    </w:rPr>
  </w:style>
  <w:style w:type="paragraph" w:customStyle="1" w:styleId="TitlePage12">
    <w:name w:val="Title Page 12"/>
    <w:basedOn w:val="TitlePage14"/>
    <w:rsid w:val="0023580A"/>
    <w:rPr>
      <w:b w:val="0"/>
      <w:bCs w:val="0"/>
      <w:sz w:val="24"/>
    </w:rPr>
  </w:style>
  <w:style w:type="paragraph" w:styleId="ListParagraph">
    <w:name w:val="List Paragraph"/>
    <w:aliases w:val="Alpha List Paragraph"/>
    <w:basedOn w:val="Normal"/>
    <w:link w:val="ListParagraphChar"/>
    <w:qFormat/>
    <w:rsid w:val="009167F1"/>
    <w:pPr>
      <w:ind w:left="720"/>
      <w:contextualSpacing/>
    </w:pPr>
  </w:style>
  <w:style w:type="character" w:customStyle="1" w:styleId="ListParagraphChar">
    <w:name w:val="List Paragraph Char"/>
    <w:aliases w:val="Alpha List Paragraph Char"/>
    <w:link w:val="ListParagraph"/>
    <w:locked/>
    <w:rsid w:val="00967F07"/>
    <w:rPr>
      <w:rFonts w:ascii="Arial" w:hAnsi="Arial"/>
      <w:sz w:val="22"/>
    </w:rPr>
  </w:style>
  <w:style w:type="paragraph" w:styleId="Revision">
    <w:name w:val="Revision"/>
    <w:hidden/>
    <w:rsid w:val="001E49E5"/>
    <w:rPr>
      <w:rFonts w:ascii="Arial" w:hAnsi="Arial"/>
      <w:sz w:val="22"/>
    </w:rPr>
  </w:style>
  <w:style w:type="character" w:customStyle="1" w:styleId="FASTproposalrepaste">
    <w:name w:val="FAST proposal repaste"/>
    <w:basedOn w:val="DefaultParagraphFont"/>
    <w:rsid w:val="00336ADC"/>
    <w:rPr>
      <w:rFonts w:ascii="Times New Roman" w:hAnsi="Times New Roman"/>
      <w:color w:val="0000FF"/>
    </w:rPr>
  </w:style>
  <w:style w:type="paragraph" w:customStyle="1" w:styleId="StyleTableBullet10ptItalicBlue">
    <w:name w:val="Style Table Bullet + 10 pt Italic Blue"/>
    <w:basedOn w:val="TableBullet"/>
    <w:rsid w:val="00336ADC"/>
    <w:pPr>
      <w:numPr>
        <w:numId w:val="10"/>
      </w:numPr>
    </w:pPr>
    <w:rPr>
      <w:i/>
      <w:iCs/>
      <w:color w:val="0000FF"/>
      <w:sz w:val="20"/>
    </w:rPr>
  </w:style>
  <w:style w:type="paragraph" w:styleId="BodyText2">
    <w:name w:val="Body Text 2"/>
    <w:basedOn w:val="Normal"/>
    <w:link w:val="BodyText2Char"/>
    <w:rsid w:val="00991730"/>
    <w:pPr>
      <w:spacing w:after="120" w:line="480" w:lineRule="auto"/>
    </w:pPr>
  </w:style>
  <w:style w:type="character" w:customStyle="1" w:styleId="BodyText2Char">
    <w:name w:val="Body Text 2 Char"/>
    <w:basedOn w:val="DefaultParagraphFont"/>
    <w:link w:val="BodyText2"/>
    <w:rsid w:val="00991730"/>
    <w:rPr>
      <w:rFonts w:ascii="Arial" w:hAnsi="Arial"/>
      <w:sz w:val="22"/>
    </w:rPr>
  </w:style>
  <w:style w:type="paragraph" w:styleId="ListBullet">
    <w:name w:val="List Bullet"/>
    <w:basedOn w:val="Normal"/>
    <w:rsid w:val="0043432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3113">
      <w:bodyDiv w:val="1"/>
      <w:marLeft w:val="0"/>
      <w:marRight w:val="0"/>
      <w:marTop w:val="0"/>
      <w:marBottom w:val="0"/>
      <w:divBdr>
        <w:top w:val="none" w:sz="0" w:space="0" w:color="auto"/>
        <w:left w:val="none" w:sz="0" w:space="0" w:color="auto"/>
        <w:bottom w:val="none" w:sz="0" w:space="0" w:color="auto"/>
        <w:right w:val="none" w:sz="0" w:space="0" w:color="auto"/>
      </w:divBdr>
    </w:div>
    <w:div w:id="250816445">
      <w:bodyDiv w:val="1"/>
      <w:marLeft w:val="0"/>
      <w:marRight w:val="0"/>
      <w:marTop w:val="0"/>
      <w:marBottom w:val="0"/>
      <w:divBdr>
        <w:top w:val="none" w:sz="0" w:space="0" w:color="auto"/>
        <w:left w:val="none" w:sz="0" w:space="0" w:color="auto"/>
        <w:bottom w:val="none" w:sz="0" w:space="0" w:color="auto"/>
        <w:right w:val="none" w:sz="0" w:space="0" w:color="auto"/>
      </w:divBdr>
    </w:div>
    <w:div w:id="278724641">
      <w:bodyDiv w:val="1"/>
      <w:marLeft w:val="0"/>
      <w:marRight w:val="0"/>
      <w:marTop w:val="0"/>
      <w:marBottom w:val="0"/>
      <w:divBdr>
        <w:top w:val="none" w:sz="0" w:space="0" w:color="auto"/>
        <w:left w:val="none" w:sz="0" w:space="0" w:color="auto"/>
        <w:bottom w:val="none" w:sz="0" w:space="0" w:color="auto"/>
        <w:right w:val="none" w:sz="0" w:space="0" w:color="auto"/>
      </w:divBdr>
    </w:div>
    <w:div w:id="531651607">
      <w:bodyDiv w:val="1"/>
      <w:marLeft w:val="0"/>
      <w:marRight w:val="0"/>
      <w:marTop w:val="0"/>
      <w:marBottom w:val="0"/>
      <w:divBdr>
        <w:top w:val="none" w:sz="0" w:space="0" w:color="auto"/>
        <w:left w:val="none" w:sz="0" w:space="0" w:color="auto"/>
        <w:bottom w:val="none" w:sz="0" w:space="0" w:color="auto"/>
        <w:right w:val="none" w:sz="0" w:space="0" w:color="auto"/>
      </w:divBdr>
    </w:div>
    <w:div w:id="687024537">
      <w:bodyDiv w:val="1"/>
      <w:marLeft w:val="0"/>
      <w:marRight w:val="0"/>
      <w:marTop w:val="0"/>
      <w:marBottom w:val="0"/>
      <w:divBdr>
        <w:top w:val="none" w:sz="0" w:space="0" w:color="auto"/>
        <w:left w:val="none" w:sz="0" w:space="0" w:color="auto"/>
        <w:bottom w:val="none" w:sz="0" w:space="0" w:color="auto"/>
        <w:right w:val="none" w:sz="0" w:space="0" w:color="auto"/>
      </w:divBdr>
    </w:div>
    <w:div w:id="798573775">
      <w:bodyDiv w:val="1"/>
      <w:marLeft w:val="0"/>
      <w:marRight w:val="0"/>
      <w:marTop w:val="0"/>
      <w:marBottom w:val="0"/>
      <w:divBdr>
        <w:top w:val="none" w:sz="0" w:space="0" w:color="auto"/>
        <w:left w:val="none" w:sz="0" w:space="0" w:color="auto"/>
        <w:bottom w:val="none" w:sz="0" w:space="0" w:color="auto"/>
        <w:right w:val="none" w:sz="0" w:space="0" w:color="auto"/>
      </w:divBdr>
    </w:div>
    <w:div w:id="947926460">
      <w:bodyDiv w:val="1"/>
      <w:marLeft w:val="0"/>
      <w:marRight w:val="0"/>
      <w:marTop w:val="0"/>
      <w:marBottom w:val="0"/>
      <w:divBdr>
        <w:top w:val="none" w:sz="0" w:space="0" w:color="auto"/>
        <w:left w:val="none" w:sz="0" w:space="0" w:color="auto"/>
        <w:bottom w:val="none" w:sz="0" w:space="0" w:color="auto"/>
        <w:right w:val="none" w:sz="0" w:space="0" w:color="auto"/>
      </w:divBdr>
    </w:div>
    <w:div w:id="967471197">
      <w:bodyDiv w:val="1"/>
      <w:marLeft w:val="0"/>
      <w:marRight w:val="0"/>
      <w:marTop w:val="0"/>
      <w:marBottom w:val="0"/>
      <w:divBdr>
        <w:top w:val="none" w:sz="0" w:space="0" w:color="auto"/>
        <w:left w:val="none" w:sz="0" w:space="0" w:color="auto"/>
        <w:bottom w:val="none" w:sz="0" w:space="0" w:color="auto"/>
        <w:right w:val="none" w:sz="0" w:space="0" w:color="auto"/>
      </w:divBdr>
      <w:divsChild>
        <w:div w:id="1894660198">
          <w:marLeft w:val="0"/>
          <w:marRight w:val="0"/>
          <w:marTop w:val="0"/>
          <w:marBottom w:val="0"/>
          <w:divBdr>
            <w:top w:val="none" w:sz="0" w:space="0" w:color="auto"/>
            <w:left w:val="none" w:sz="0" w:space="0" w:color="auto"/>
            <w:bottom w:val="none" w:sz="0" w:space="0" w:color="auto"/>
            <w:right w:val="none" w:sz="0" w:space="0" w:color="auto"/>
          </w:divBdr>
          <w:divsChild>
            <w:div w:id="7629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063">
      <w:bodyDiv w:val="1"/>
      <w:marLeft w:val="0"/>
      <w:marRight w:val="0"/>
      <w:marTop w:val="0"/>
      <w:marBottom w:val="0"/>
      <w:divBdr>
        <w:top w:val="none" w:sz="0" w:space="0" w:color="auto"/>
        <w:left w:val="none" w:sz="0" w:space="0" w:color="auto"/>
        <w:bottom w:val="none" w:sz="0" w:space="0" w:color="auto"/>
        <w:right w:val="none" w:sz="0" w:space="0" w:color="auto"/>
      </w:divBdr>
    </w:div>
    <w:div w:id="1161317181">
      <w:bodyDiv w:val="1"/>
      <w:marLeft w:val="0"/>
      <w:marRight w:val="0"/>
      <w:marTop w:val="0"/>
      <w:marBottom w:val="0"/>
      <w:divBdr>
        <w:top w:val="none" w:sz="0" w:space="0" w:color="auto"/>
        <w:left w:val="none" w:sz="0" w:space="0" w:color="auto"/>
        <w:bottom w:val="none" w:sz="0" w:space="0" w:color="auto"/>
        <w:right w:val="none" w:sz="0" w:space="0" w:color="auto"/>
      </w:divBdr>
    </w:div>
    <w:div w:id="1185897509">
      <w:bodyDiv w:val="1"/>
      <w:marLeft w:val="0"/>
      <w:marRight w:val="0"/>
      <w:marTop w:val="0"/>
      <w:marBottom w:val="0"/>
      <w:divBdr>
        <w:top w:val="none" w:sz="0" w:space="0" w:color="auto"/>
        <w:left w:val="none" w:sz="0" w:space="0" w:color="auto"/>
        <w:bottom w:val="none" w:sz="0" w:space="0" w:color="auto"/>
        <w:right w:val="none" w:sz="0" w:space="0" w:color="auto"/>
      </w:divBdr>
    </w:div>
    <w:div w:id="1191381296">
      <w:bodyDiv w:val="1"/>
      <w:marLeft w:val="0"/>
      <w:marRight w:val="0"/>
      <w:marTop w:val="0"/>
      <w:marBottom w:val="0"/>
      <w:divBdr>
        <w:top w:val="none" w:sz="0" w:space="0" w:color="auto"/>
        <w:left w:val="none" w:sz="0" w:space="0" w:color="auto"/>
        <w:bottom w:val="none" w:sz="0" w:space="0" w:color="auto"/>
        <w:right w:val="none" w:sz="0" w:space="0" w:color="auto"/>
      </w:divBdr>
    </w:div>
    <w:div w:id="1212423546">
      <w:bodyDiv w:val="1"/>
      <w:marLeft w:val="0"/>
      <w:marRight w:val="0"/>
      <w:marTop w:val="0"/>
      <w:marBottom w:val="0"/>
      <w:divBdr>
        <w:top w:val="none" w:sz="0" w:space="0" w:color="auto"/>
        <w:left w:val="none" w:sz="0" w:space="0" w:color="auto"/>
        <w:bottom w:val="none" w:sz="0" w:space="0" w:color="auto"/>
        <w:right w:val="none" w:sz="0" w:space="0" w:color="auto"/>
      </w:divBdr>
    </w:div>
    <w:div w:id="1330013714">
      <w:bodyDiv w:val="1"/>
      <w:marLeft w:val="0"/>
      <w:marRight w:val="0"/>
      <w:marTop w:val="0"/>
      <w:marBottom w:val="0"/>
      <w:divBdr>
        <w:top w:val="none" w:sz="0" w:space="0" w:color="auto"/>
        <w:left w:val="none" w:sz="0" w:space="0" w:color="auto"/>
        <w:bottom w:val="none" w:sz="0" w:space="0" w:color="auto"/>
        <w:right w:val="none" w:sz="0" w:space="0" w:color="auto"/>
      </w:divBdr>
      <w:divsChild>
        <w:div w:id="877741687">
          <w:marLeft w:val="0"/>
          <w:marRight w:val="0"/>
          <w:marTop w:val="0"/>
          <w:marBottom w:val="0"/>
          <w:divBdr>
            <w:top w:val="none" w:sz="0" w:space="0" w:color="auto"/>
            <w:left w:val="none" w:sz="0" w:space="0" w:color="auto"/>
            <w:bottom w:val="none" w:sz="0" w:space="0" w:color="auto"/>
            <w:right w:val="none" w:sz="0" w:space="0" w:color="auto"/>
          </w:divBdr>
          <w:divsChild>
            <w:div w:id="1468911">
              <w:marLeft w:val="0"/>
              <w:marRight w:val="0"/>
              <w:marTop w:val="0"/>
              <w:marBottom w:val="0"/>
              <w:divBdr>
                <w:top w:val="none" w:sz="0" w:space="0" w:color="auto"/>
                <w:left w:val="none" w:sz="0" w:space="0" w:color="auto"/>
                <w:bottom w:val="none" w:sz="0" w:space="0" w:color="auto"/>
                <w:right w:val="none" w:sz="0" w:space="0" w:color="auto"/>
              </w:divBdr>
            </w:div>
            <w:div w:id="2902611">
              <w:marLeft w:val="0"/>
              <w:marRight w:val="0"/>
              <w:marTop w:val="0"/>
              <w:marBottom w:val="0"/>
              <w:divBdr>
                <w:top w:val="none" w:sz="0" w:space="0" w:color="auto"/>
                <w:left w:val="none" w:sz="0" w:space="0" w:color="auto"/>
                <w:bottom w:val="none" w:sz="0" w:space="0" w:color="auto"/>
                <w:right w:val="none" w:sz="0" w:space="0" w:color="auto"/>
              </w:divBdr>
            </w:div>
            <w:div w:id="131869161">
              <w:marLeft w:val="0"/>
              <w:marRight w:val="0"/>
              <w:marTop w:val="0"/>
              <w:marBottom w:val="0"/>
              <w:divBdr>
                <w:top w:val="none" w:sz="0" w:space="0" w:color="auto"/>
                <w:left w:val="none" w:sz="0" w:space="0" w:color="auto"/>
                <w:bottom w:val="none" w:sz="0" w:space="0" w:color="auto"/>
                <w:right w:val="none" w:sz="0" w:space="0" w:color="auto"/>
              </w:divBdr>
            </w:div>
            <w:div w:id="520097190">
              <w:marLeft w:val="0"/>
              <w:marRight w:val="0"/>
              <w:marTop w:val="0"/>
              <w:marBottom w:val="0"/>
              <w:divBdr>
                <w:top w:val="none" w:sz="0" w:space="0" w:color="auto"/>
                <w:left w:val="none" w:sz="0" w:space="0" w:color="auto"/>
                <w:bottom w:val="none" w:sz="0" w:space="0" w:color="auto"/>
                <w:right w:val="none" w:sz="0" w:space="0" w:color="auto"/>
              </w:divBdr>
            </w:div>
            <w:div w:id="524830516">
              <w:marLeft w:val="0"/>
              <w:marRight w:val="0"/>
              <w:marTop w:val="0"/>
              <w:marBottom w:val="0"/>
              <w:divBdr>
                <w:top w:val="none" w:sz="0" w:space="0" w:color="auto"/>
                <w:left w:val="none" w:sz="0" w:space="0" w:color="auto"/>
                <w:bottom w:val="none" w:sz="0" w:space="0" w:color="auto"/>
                <w:right w:val="none" w:sz="0" w:space="0" w:color="auto"/>
              </w:divBdr>
            </w:div>
            <w:div w:id="822044746">
              <w:marLeft w:val="0"/>
              <w:marRight w:val="0"/>
              <w:marTop w:val="0"/>
              <w:marBottom w:val="0"/>
              <w:divBdr>
                <w:top w:val="none" w:sz="0" w:space="0" w:color="auto"/>
                <w:left w:val="none" w:sz="0" w:space="0" w:color="auto"/>
                <w:bottom w:val="none" w:sz="0" w:space="0" w:color="auto"/>
                <w:right w:val="none" w:sz="0" w:space="0" w:color="auto"/>
              </w:divBdr>
            </w:div>
            <w:div w:id="1042095889">
              <w:marLeft w:val="0"/>
              <w:marRight w:val="0"/>
              <w:marTop w:val="0"/>
              <w:marBottom w:val="0"/>
              <w:divBdr>
                <w:top w:val="none" w:sz="0" w:space="0" w:color="auto"/>
                <w:left w:val="none" w:sz="0" w:space="0" w:color="auto"/>
                <w:bottom w:val="none" w:sz="0" w:space="0" w:color="auto"/>
                <w:right w:val="none" w:sz="0" w:space="0" w:color="auto"/>
              </w:divBdr>
            </w:div>
            <w:div w:id="1355887913">
              <w:marLeft w:val="0"/>
              <w:marRight w:val="0"/>
              <w:marTop w:val="0"/>
              <w:marBottom w:val="0"/>
              <w:divBdr>
                <w:top w:val="none" w:sz="0" w:space="0" w:color="auto"/>
                <w:left w:val="none" w:sz="0" w:space="0" w:color="auto"/>
                <w:bottom w:val="none" w:sz="0" w:space="0" w:color="auto"/>
                <w:right w:val="none" w:sz="0" w:space="0" w:color="auto"/>
              </w:divBdr>
            </w:div>
            <w:div w:id="1381203161">
              <w:marLeft w:val="0"/>
              <w:marRight w:val="0"/>
              <w:marTop w:val="0"/>
              <w:marBottom w:val="0"/>
              <w:divBdr>
                <w:top w:val="none" w:sz="0" w:space="0" w:color="auto"/>
                <w:left w:val="none" w:sz="0" w:space="0" w:color="auto"/>
                <w:bottom w:val="none" w:sz="0" w:space="0" w:color="auto"/>
                <w:right w:val="none" w:sz="0" w:space="0" w:color="auto"/>
              </w:divBdr>
            </w:div>
            <w:div w:id="1589923969">
              <w:marLeft w:val="0"/>
              <w:marRight w:val="0"/>
              <w:marTop w:val="0"/>
              <w:marBottom w:val="0"/>
              <w:divBdr>
                <w:top w:val="none" w:sz="0" w:space="0" w:color="auto"/>
                <w:left w:val="none" w:sz="0" w:space="0" w:color="auto"/>
                <w:bottom w:val="none" w:sz="0" w:space="0" w:color="auto"/>
                <w:right w:val="none" w:sz="0" w:space="0" w:color="auto"/>
              </w:divBdr>
            </w:div>
            <w:div w:id="1686899511">
              <w:marLeft w:val="0"/>
              <w:marRight w:val="0"/>
              <w:marTop w:val="0"/>
              <w:marBottom w:val="0"/>
              <w:divBdr>
                <w:top w:val="none" w:sz="0" w:space="0" w:color="auto"/>
                <w:left w:val="none" w:sz="0" w:space="0" w:color="auto"/>
                <w:bottom w:val="none" w:sz="0" w:space="0" w:color="auto"/>
                <w:right w:val="none" w:sz="0" w:space="0" w:color="auto"/>
              </w:divBdr>
            </w:div>
            <w:div w:id="1839298415">
              <w:marLeft w:val="0"/>
              <w:marRight w:val="0"/>
              <w:marTop w:val="0"/>
              <w:marBottom w:val="0"/>
              <w:divBdr>
                <w:top w:val="none" w:sz="0" w:space="0" w:color="auto"/>
                <w:left w:val="none" w:sz="0" w:space="0" w:color="auto"/>
                <w:bottom w:val="none" w:sz="0" w:space="0" w:color="auto"/>
                <w:right w:val="none" w:sz="0" w:space="0" w:color="auto"/>
              </w:divBdr>
            </w:div>
            <w:div w:id="1996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8542">
      <w:bodyDiv w:val="1"/>
      <w:marLeft w:val="0"/>
      <w:marRight w:val="0"/>
      <w:marTop w:val="0"/>
      <w:marBottom w:val="0"/>
      <w:divBdr>
        <w:top w:val="none" w:sz="0" w:space="0" w:color="auto"/>
        <w:left w:val="none" w:sz="0" w:space="0" w:color="auto"/>
        <w:bottom w:val="none" w:sz="0" w:space="0" w:color="auto"/>
        <w:right w:val="none" w:sz="0" w:space="0" w:color="auto"/>
      </w:divBdr>
    </w:div>
    <w:div w:id="1897664761">
      <w:bodyDiv w:val="1"/>
      <w:marLeft w:val="0"/>
      <w:marRight w:val="0"/>
      <w:marTop w:val="0"/>
      <w:marBottom w:val="0"/>
      <w:divBdr>
        <w:top w:val="none" w:sz="0" w:space="0" w:color="auto"/>
        <w:left w:val="none" w:sz="0" w:space="0" w:color="auto"/>
        <w:bottom w:val="none" w:sz="0" w:space="0" w:color="auto"/>
        <w:right w:val="none" w:sz="0" w:space="0" w:color="auto"/>
      </w:divBdr>
    </w:div>
    <w:div w:id="2053267335">
      <w:bodyDiv w:val="1"/>
      <w:marLeft w:val="0"/>
      <w:marRight w:val="0"/>
      <w:marTop w:val="0"/>
      <w:marBottom w:val="0"/>
      <w:divBdr>
        <w:top w:val="none" w:sz="0" w:space="0" w:color="auto"/>
        <w:left w:val="none" w:sz="0" w:space="0" w:color="auto"/>
        <w:bottom w:val="none" w:sz="0" w:space="0" w:color="auto"/>
        <w:right w:val="none" w:sz="0" w:space="0" w:color="auto"/>
      </w:divBdr>
    </w:div>
    <w:div w:id="2092651187">
      <w:bodyDiv w:val="1"/>
      <w:marLeft w:val="0"/>
      <w:marRight w:val="0"/>
      <w:marTop w:val="0"/>
      <w:marBottom w:val="0"/>
      <w:divBdr>
        <w:top w:val="none" w:sz="0" w:space="0" w:color="auto"/>
        <w:left w:val="none" w:sz="0" w:space="0" w:color="auto"/>
        <w:bottom w:val="none" w:sz="0" w:space="0" w:color="auto"/>
        <w:right w:val="none" w:sz="0" w:space="0" w:color="auto"/>
      </w:divBdr>
    </w:div>
    <w:div w:id="21423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77610C1E1C140952138E23BAF9762" ma:contentTypeVersion="0" ma:contentTypeDescription="Create a new document." ma:contentTypeScope="" ma:versionID="7172b9a8b595fcb91d8d3c915d8d93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2CB4-31C5-44C3-9C8E-B1F508B62314}">
  <ds:schemaRefs>
    <ds:schemaRef ds:uri="http://schemas.microsoft.com/office/2006/metadata/properties"/>
  </ds:schemaRefs>
</ds:datastoreItem>
</file>

<file path=customXml/itemProps2.xml><?xml version="1.0" encoding="utf-8"?>
<ds:datastoreItem xmlns:ds="http://schemas.openxmlformats.org/officeDocument/2006/customXml" ds:itemID="{60E667AD-5D39-4078-91F5-DEA5B86DAD4F}">
  <ds:schemaRefs>
    <ds:schemaRef ds:uri="http://schemas.microsoft.com/sharepoint/v3/contenttype/forms"/>
  </ds:schemaRefs>
</ds:datastoreItem>
</file>

<file path=customXml/itemProps3.xml><?xml version="1.0" encoding="utf-8"?>
<ds:datastoreItem xmlns:ds="http://schemas.openxmlformats.org/officeDocument/2006/customXml" ds:itemID="{7D85C27F-B052-465A-9D12-BB338679D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19134F-F183-4FFD-A406-E52C7128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13863</Words>
  <Characters>79021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Mathtech</Company>
  <LinksUpToDate>false</LinksUpToDate>
  <CharactersWithSpaces>92699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Mathtech, Inc.;fnestore@mathtechinc.com</dc:creator>
  <cp:keywords>Mathtech Report, Independent Review</cp:keywords>
  <cp:lastModifiedBy>Cormier, Barbara</cp:lastModifiedBy>
  <cp:revision>2</cp:revision>
  <dcterms:created xsi:type="dcterms:W3CDTF">2015-02-26T19:20:00Z</dcterms:created>
  <dcterms:modified xsi:type="dcterms:W3CDTF">2015-02-26T19:20:00Z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0x010100A4477610C1E1C140952138E23BAF9762</vt:lpwstr>
  </property>
</Properties>
</file>